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ECBEF" w14:textId="7ECA15A1" w:rsidR="00F9078E" w:rsidRPr="00987AD1" w:rsidRDefault="00DF359B" w:rsidP="007E1F1C">
      <w:p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0E2388" w14:textId="5FFECE46" w:rsidR="00C7781C" w:rsidRPr="00FD6187" w:rsidRDefault="00DD34E4" w:rsidP="007E1F1C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</w:rPr>
      </w:pPr>
      <w:r w:rsidRPr="00FD6187">
        <w:rPr>
          <w:rFonts w:ascii="Open Sans Light" w:hAnsi="Open Sans Light" w:cs="Open Sans Light"/>
          <w:b/>
        </w:rPr>
        <w:t>Załącznik nr 3</w:t>
      </w:r>
      <w:r w:rsidR="00C52A4A" w:rsidRPr="00FD6187">
        <w:rPr>
          <w:rFonts w:ascii="Open Sans Light" w:hAnsi="Open Sans Light" w:cs="Open Sans Light"/>
          <w:b/>
        </w:rPr>
        <w:t xml:space="preserve"> do Regulaminu</w:t>
      </w:r>
      <w:r w:rsidR="00FF5860" w:rsidRPr="00FD6187">
        <w:rPr>
          <w:rFonts w:ascii="Open Sans Light" w:hAnsi="Open Sans Light" w:cs="Open Sans Light"/>
          <w:b/>
        </w:rPr>
        <w:t xml:space="preserve"> wyboru projektów</w:t>
      </w:r>
      <w:r w:rsidR="00C7781C" w:rsidRPr="00FD6187">
        <w:rPr>
          <w:rFonts w:ascii="Open Sans Light" w:hAnsi="Open Sans Light" w:cs="Open Sans Light"/>
          <w:b/>
        </w:rPr>
        <w:t xml:space="preserve"> </w:t>
      </w:r>
    </w:p>
    <w:p w14:paraId="09E4EE26" w14:textId="7371DE85" w:rsidR="00E54F44" w:rsidRPr="00987AD1" w:rsidRDefault="00E54F44" w:rsidP="007E1F1C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41A7AE84" w14:textId="6B134AD8" w:rsidR="00EF4285" w:rsidRPr="007E1F1C" w:rsidRDefault="00EF4285" w:rsidP="00DA0234">
      <w:pPr>
        <w:spacing w:after="0" w:line="276" w:lineRule="auto"/>
        <w:rPr>
          <w:rFonts w:ascii="Open Sans Light" w:hAnsi="Open Sans Light" w:cs="Open Sans Light"/>
          <w:b/>
          <w:bCs/>
          <w:color w:val="000000"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Działanie FENX.01.</w:t>
      </w:r>
      <w:r w:rsidR="00BC1522" w:rsidRPr="00BC1522">
        <w:t xml:space="preserve"> </w:t>
      </w:r>
      <w:r w:rsidR="00BC1522" w:rsidRPr="00BC1522">
        <w:rPr>
          <w:rFonts w:ascii="Open Sans Light" w:hAnsi="Open Sans Light" w:cs="Open Sans Light"/>
          <w:b/>
          <w:bCs/>
          <w:color w:val="000000"/>
          <w:sz w:val="24"/>
          <w:szCs w:val="24"/>
        </w:rPr>
        <w:t>04. Gospodarka odpadami oraz gospodarka o obiegu zamkniętym</w:t>
      </w:r>
    </w:p>
    <w:p w14:paraId="58DEDFBC" w14:textId="05E2139D" w:rsidR="00EF4285" w:rsidRPr="007E1F1C" w:rsidRDefault="00EF4285" w:rsidP="00DA0234">
      <w:pPr>
        <w:spacing w:after="0" w:line="276" w:lineRule="auto"/>
        <w:rPr>
          <w:rFonts w:ascii="Open Sans Light" w:hAnsi="Open Sans Light" w:cs="Open Sans Light"/>
          <w:b/>
          <w:bCs/>
          <w:color w:val="000000"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Typ </w:t>
      </w:r>
      <w:r w:rsidR="00DD34E4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projektu:</w:t>
      </w: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 </w:t>
      </w:r>
      <w:r w:rsidR="00BC1522" w:rsidRPr="00BC1522">
        <w:rPr>
          <w:rFonts w:ascii="Open Sans Light" w:hAnsi="Open Sans Light" w:cs="Open Sans Light"/>
          <w:b/>
          <w:bCs/>
          <w:color w:val="000000"/>
          <w:sz w:val="24"/>
          <w:szCs w:val="24"/>
        </w:rPr>
        <w:t>Instalacje do przetwarzania odpadów komunalnych zgodnie z hierarchią sposobów postępowania z odpadami</w:t>
      </w:r>
    </w:p>
    <w:p w14:paraId="7FB1A1E5" w14:textId="27EBBC1A" w:rsidR="00DC4BDF" w:rsidRPr="00987AD1" w:rsidRDefault="00F47ADD" w:rsidP="00DA0234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10691888" w14:textId="77777777" w:rsidR="00BC1522" w:rsidRPr="00BC1522" w:rsidRDefault="00BC1522" w:rsidP="003262E3">
      <w:pPr>
        <w:pStyle w:val="Akapitzlist"/>
        <w:numPr>
          <w:ilvl w:val="0"/>
          <w:numId w:val="29"/>
        </w:numPr>
        <w:rPr>
          <w:rFonts w:ascii="Open Sans Light" w:hAnsi="Open Sans Light" w:cs="Open Sans Light"/>
          <w:sz w:val="24"/>
          <w:szCs w:val="24"/>
        </w:rPr>
      </w:pPr>
      <w:r w:rsidRPr="00BC1522">
        <w:rPr>
          <w:rFonts w:ascii="Open Sans Light" w:hAnsi="Open Sans Light" w:cs="Open Sans Light"/>
          <w:sz w:val="24"/>
          <w:szCs w:val="24"/>
        </w:rPr>
        <w:t>Studium wykonalności dla projektu zawierające analizę kosztów i korzyści wraz z arkuszem kalkulacyjnym zawierającym model finansowo – ekonomiczny - wymagany</w:t>
      </w:r>
    </w:p>
    <w:p w14:paraId="38C8C9F8" w14:textId="1D11445D" w:rsidR="00DD34E4" w:rsidRPr="00987AD1" w:rsidRDefault="00DD34E4" w:rsidP="00DA0234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Mapa przedstawiająca lokalizację zadania (obszar projektu) i najważniejsze jego elementy, w tym usytuowanie obiektów infrastruktury terenowej/zagospodarowanie terenu w skali umożliwiająca czytelność wraz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 xml:space="preserve">z opisem/legendą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wymagany.</w:t>
      </w:r>
    </w:p>
    <w:p w14:paraId="3E85DB96" w14:textId="76FE6FAA" w:rsidR="00DD34E4" w:rsidRPr="00987AD1" w:rsidRDefault="00DD34E4" w:rsidP="00DA0234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2021B15C" w:rsidR="00DD34E4" w:rsidRPr="00987AD1" w:rsidRDefault="00DD34E4" w:rsidP="00DA0234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Zgodność z prawem ochrony środowiska - dokumentacja związana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z przeprowadzonym postępowaniem ws. oceny oddziaływania na środowisko, zgodna z dyrektywą Parlamentu Europejskiego i Rady z dnia 27 czerwca 2001 r. nr 2001/42/WE oraz dyrektywa Parlamentu Europejskiego i Rady z dnia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13 grudnia 2011 r. nr 2011/92/UE (ze zmianami) - wymagany;</w:t>
      </w:r>
    </w:p>
    <w:p w14:paraId="6A80AD69" w14:textId="15790B10" w:rsidR="00AF6091" w:rsidRPr="00987AD1" w:rsidRDefault="00AF6091" w:rsidP="00DA0234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Deklaracja organu odpowiedzialnego za monitorowanie obszarów Natura 2000 – </w:t>
      </w:r>
      <w:r w:rsidR="00D800FE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5A7483AE" w14:textId="40AED184" w:rsidR="00AF6091" w:rsidRPr="00987AD1" w:rsidRDefault="00F916D0" w:rsidP="00DA0234">
      <w:pPr>
        <w:pStyle w:val="Akapitzlist"/>
        <w:numPr>
          <w:ilvl w:val="1"/>
          <w:numId w:val="29"/>
        </w:numPr>
        <w:spacing w:after="0" w:line="276" w:lineRule="auto"/>
        <w:ind w:left="851" w:hanging="491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Informacja właściwego organu odpowiedzialnego za gospodarkę wodną</w:t>
      </w:r>
      <w:r w:rsidR="00AD47EC">
        <w:rPr>
          <w:rFonts w:ascii="Open Sans Light" w:hAnsi="Open Sans Light" w:cs="Open Sans Light"/>
          <w:sz w:val="24"/>
          <w:szCs w:val="24"/>
        </w:rPr>
        <w:t xml:space="preserve"> - opcjonalny</w:t>
      </w:r>
    </w:p>
    <w:p w14:paraId="7DA86A28" w14:textId="466878DF" w:rsidR="000200EE" w:rsidRPr="00987AD1" w:rsidRDefault="0035339B" w:rsidP="00DA0234">
      <w:pPr>
        <w:pStyle w:val="Akapitzlist"/>
        <w:numPr>
          <w:ilvl w:val="1"/>
          <w:numId w:val="29"/>
        </w:numPr>
        <w:spacing w:after="0" w:line="276" w:lineRule="auto"/>
        <w:ind w:left="851" w:hanging="491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</w:t>
      </w:r>
      <w:r w:rsidR="009E51E1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– wymagany</w:t>
      </w:r>
    </w:p>
    <w:p w14:paraId="505F3A05" w14:textId="07C294CC" w:rsidR="0035339B" w:rsidRPr="00987AD1" w:rsidRDefault="0035339B" w:rsidP="00DA0234">
      <w:pPr>
        <w:pStyle w:val="Akapitzlist"/>
        <w:numPr>
          <w:ilvl w:val="1"/>
          <w:numId w:val="29"/>
        </w:numPr>
        <w:spacing w:after="0" w:line="276" w:lineRule="auto"/>
        <w:ind w:left="851" w:hanging="491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Wykaz dokumentów gromadzonych w celu potwierdzenia spełnienia zasady DNSH w całym cyklu życia projektu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6C1DA0F2" w14:textId="1D192D8C" w:rsidR="0035339B" w:rsidRPr="00987AD1" w:rsidRDefault="0035339B" w:rsidP="00DA0234">
      <w:pPr>
        <w:pStyle w:val="Akapitzlist"/>
        <w:numPr>
          <w:ilvl w:val="1"/>
          <w:numId w:val="29"/>
        </w:numPr>
        <w:spacing w:after="0" w:line="276" w:lineRule="auto"/>
        <w:ind w:left="851" w:hanging="491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Decyzja o środowiskowych uwarunkowaniach dla projektu lub postanowienie o braku konieczności wydania ww. decyzji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F90899">
        <w:rPr>
          <w:rFonts w:ascii="Open Sans Light" w:hAnsi="Open Sans Light" w:cs="Open Sans Light"/>
          <w:sz w:val="24"/>
          <w:szCs w:val="24"/>
        </w:rPr>
        <w:t xml:space="preserve"> </w:t>
      </w:r>
      <w:r w:rsidR="00D800FE">
        <w:rPr>
          <w:rFonts w:ascii="Open Sans Light" w:hAnsi="Open Sans Light" w:cs="Open Sans Light"/>
          <w:sz w:val="24"/>
          <w:szCs w:val="24"/>
        </w:rPr>
        <w:t>wymagany</w:t>
      </w:r>
    </w:p>
    <w:p w14:paraId="0A59D150" w14:textId="04F7723E" w:rsidR="00DD34E4" w:rsidRPr="00987AD1" w:rsidRDefault="00DD34E4" w:rsidP="00DA0234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Działania informacyjno-promocyjne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687553E3" w14:textId="1830A235" w:rsidR="004A2C35" w:rsidRPr="00987AD1" w:rsidRDefault="00183A7B" w:rsidP="00DA0234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987AD1">
        <w:rPr>
          <w:rFonts w:ascii="Open Sans Light" w:hAnsi="Open Sans Light" w:cs="Open Sans Light"/>
          <w:sz w:val="24"/>
          <w:szCs w:val="24"/>
        </w:rPr>
        <w:t>w</w:t>
      </w:r>
      <w:r w:rsidRPr="00987AD1">
        <w:rPr>
          <w:rFonts w:ascii="Open Sans Light" w:hAnsi="Open Sans Light" w:cs="Open Sans Light"/>
          <w:sz w:val="24"/>
          <w:szCs w:val="24"/>
        </w:rPr>
        <w:t>nioskodawcy (np. statut, umowa spółki</w:t>
      </w:r>
      <w:r w:rsidR="005C0B35">
        <w:rPr>
          <w:rFonts w:ascii="Open Sans Light" w:hAnsi="Open Sans Light" w:cs="Open Sans Light"/>
          <w:sz w:val="24"/>
          <w:szCs w:val="24"/>
        </w:rPr>
        <w:t>,</w:t>
      </w:r>
      <w:r w:rsidRPr="00987AD1">
        <w:rPr>
          <w:rFonts w:ascii="Open Sans Light" w:hAnsi="Open Sans Light" w:cs="Open Sans Light"/>
          <w:sz w:val="24"/>
          <w:szCs w:val="24"/>
        </w:rPr>
        <w:t xml:space="preserve"> itp.) właściwe dla danej formy prawnej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  <w:r w:rsidR="002A5FA0" w:rsidRPr="00987AD1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69F50EE7" w:rsidR="008F7874" w:rsidRPr="00987AD1" w:rsidRDefault="00183A7B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lastRenderedPageBreak/>
        <w:t xml:space="preserve">Dokumenty potwierdzające umocowanie 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987AD1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5C0B35">
        <w:rPr>
          <w:rFonts w:ascii="Open Sans Light" w:hAnsi="Open Sans Light" w:cs="Open Sans Light"/>
          <w:color w:val="000000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wymagany</w:t>
      </w:r>
      <w:r w:rsidR="004A2C35"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53D3CFE1" w14:textId="794992D9" w:rsidR="006C6EF7" w:rsidRPr="00987AD1" w:rsidRDefault="00183A7B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987AD1">
        <w:rPr>
          <w:rFonts w:ascii="Open Sans Light" w:hAnsi="Open Sans Light" w:cs="Open Sans Light"/>
          <w:sz w:val="24"/>
          <w:szCs w:val="24"/>
        </w:rPr>
        <w:t>/pełnomocnictwo</w:t>
      </w:r>
      <w:r w:rsidRPr="00987AD1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5C0B35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A8582A3" w14:textId="5AD726A9" w:rsidR="008021B6" w:rsidRPr="00987AD1" w:rsidRDefault="00183A7B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Uchwała Rady Gminy lub organu założycielskiego (dla jednostek innych niż gmina</w:t>
      </w:r>
      <w:r w:rsidR="00E01835" w:rsidRPr="00987AD1">
        <w:rPr>
          <w:rFonts w:ascii="Open Sans Light" w:hAnsi="Open Sans Light" w:cs="Open Sans Light"/>
          <w:sz w:val="24"/>
          <w:szCs w:val="24"/>
        </w:rPr>
        <w:t xml:space="preserve"> i związek gmin</w:t>
      </w:r>
      <w:r w:rsidRPr="00987AD1">
        <w:rPr>
          <w:rFonts w:ascii="Open Sans Light" w:hAnsi="Open Sans Light" w:cs="Open Sans Light"/>
          <w:sz w:val="24"/>
          <w:szCs w:val="24"/>
        </w:rPr>
        <w:t>) upoważniająca do złożenia wniosku o dofinansowanie oraz przyjęci</w:t>
      </w:r>
      <w:r w:rsidR="00E47D23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projektu do realizacji</w:t>
      </w:r>
      <w:r w:rsidR="007C20D7">
        <w:rPr>
          <w:rFonts w:ascii="Open Sans Light" w:hAnsi="Open Sans Light" w:cs="Open Sans Light"/>
          <w:sz w:val="24"/>
          <w:szCs w:val="24"/>
        </w:rPr>
        <w:t>, lub statut jednostki zawierający upoważnienie do działania w ww. zakresie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98635D" w:rsidRPr="00987AD1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E68B9B8" w14:textId="36AF34E9" w:rsidR="0029501E" w:rsidRPr="00987AD1" w:rsidRDefault="00467B31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Porozumienie zawarte pomiędzy wnioskodawcą a podmiotem, który </w:t>
      </w:r>
      <w:r w:rsidR="005C0B35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został 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upoważniony do ponoszenia wydatków kwalifikowanych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="00BB7FB5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opcjonalny</w:t>
      </w:r>
      <w:r w:rsidR="00183A7B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F90382F" w14:textId="27BF5169" w:rsidR="00AE1AF1" w:rsidRPr="00987AD1" w:rsidRDefault="00AE1AF1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987AD1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wymagany.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75D0CB59" w14:textId="10C2A841" w:rsidR="00551FDD" w:rsidRPr="00987AD1" w:rsidRDefault="0053715A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posiadaniu prawa do dysponowania nieruchomości</w:t>
      </w:r>
      <w:r w:rsidR="00796B8A" w:rsidRPr="00987AD1">
        <w:rPr>
          <w:rFonts w:ascii="Open Sans Light" w:hAnsi="Open Sans Light" w:cs="Open Sans Light"/>
          <w:sz w:val="24"/>
          <w:szCs w:val="24"/>
        </w:rPr>
        <w:t>ą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D735F8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 xml:space="preserve">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551FDD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>.</w:t>
      </w:r>
    </w:p>
    <w:p w14:paraId="4C90D4BF" w14:textId="16BD8707" w:rsidR="00AE1AF1" w:rsidRPr="00987AD1" w:rsidRDefault="00AE1AF1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prawomocnych decyzji lokalizacyjnych (Warunki zabudowy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i zagospodarowania terenu/Ustalenie lokalizacji inwestycji celu publicznego) lub uchwał zatwierdzających miejscowe plany zagospodarowania przestrzennego dla wszystkich zadań objętych projektem, dla których jest to wymagane – wymagany.</w:t>
      </w:r>
    </w:p>
    <w:p w14:paraId="23813CE2" w14:textId="224099FF" w:rsidR="00AE1AF1" w:rsidRPr="00987AD1" w:rsidRDefault="00AE1AF1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zadań wymagających pozwolenia na budowę lub zgłoszeń zamiaru rozpoczęcia budowy/wykonania robót budowlanych niewymagających pozwolenia na budowę dla wszystkich zadań objętych projektem, dla których jest to wymagane – wymagany.</w:t>
      </w:r>
    </w:p>
    <w:p w14:paraId="6458FB1A" w14:textId="76384470" w:rsidR="00394E1F" w:rsidRPr="00987AD1" w:rsidRDefault="00394E1F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dotyczące SWZ – wymagany.</w:t>
      </w:r>
    </w:p>
    <w:p w14:paraId="04CC1B81" w14:textId="7FF1E0F8" w:rsidR="00E60B91" w:rsidRPr="00987AD1" w:rsidRDefault="001935C4" w:rsidP="00DA0234">
      <w:pPr>
        <w:pStyle w:val="Akapitzlist"/>
        <w:numPr>
          <w:ilvl w:val="0"/>
          <w:numId w:val="29"/>
        </w:numPr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 zachowaniu form komunikacji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39D2BC60" w14:textId="7D508A98" w:rsidR="00E60B91" w:rsidRPr="00987AD1" w:rsidRDefault="0023048D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–</w:t>
      </w:r>
      <w:r w:rsidR="00F90899">
        <w:rPr>
          <w:rFonts w:ascii="Open Sans Light" w:hAnsi="Open Sans Light" w:cs="Open Sans Light"/>
          <w:bCs/>
          <w:sz w:val="24"/>
          <w:szCs w:val="24"/>
        </w:rPr>
        <w:t xml:space="preserve">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wymagany</w:t>
      </w:r>
      <w:r w:rsidR="00586813" w:rsidRPr="00987AD1">
        <w:rPr>
          <w:rFonts w:ascii="Open Sans Light" w:hAnsi="Open Sans Light" w:cs="Open Sans Light"/>
          <w:bCs/>
          <w:sz w:val="24"/>
          <w:szCs w:val="24"/>
        </w:rPr>
        <w:t>.</w:t>
      </w:r>
    </w:p>
    <w:p w14:paraId="5818DA65" w14:textId="15E1D6D7" w:rsidR="00E60B91" w:rsidRPr="00987AD1" w:rsidRDefault="0010398F" w:rsidP="00DA0234">
      <w:pPr>
        <w:pStyle w:val="Akapitzlist"/>
        <w:numPr>
          <w:ilvl w:val="0"/>
          <w:numId w:val="29"/>
        </w:numPr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Style w:val="font-weight-bold"/>
          <w:rFonts w:ascii="Open Sans Light" w:hAnsi="Open Sans Light" w:cs="Open Sans Light"/>
          <w:sz w:val="24"/>
          <w:szCs w:val="24"/>
        </w:rPr>
        <w:t>Oświadczenia wnioskodawcy</w:t>
      </w:r>
      <w:r w:rsidR="00BF453F" w:rsidRPr="00987AD1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Style w:val="font-weight-bold"/>
          <w:rFonts w:ascii="Open Sans Light" w:hAnsi="Open Sans Light" w:cs="Open Sans Light"/>
          <w:sz w:val="24"/>
          <w:szCs w:val="24"/>
        </w:rPr>
        <w:t>–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A504AF1" w14:textId="18152392" w:rsidR="00BB6C72" w:rsidRDefault="00BB6C72" w:rsidP="00DA0234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Wzór klauzul</w:t>
      </w:r>
      <w:r w:rsidR="00AE756D" w:rsidRPr="00987AD1"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informacyjnej – wymagany.</w:t>
      </w:r>
    </w:p>
    <w:p w14:paraId="04144AE6" w14:textId="072829CE" w:rsidR="00D60023" w:rsidRPr="00D60023" w:rsidRDefault="00D60023" w:rsidP="00DA0234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  <w:sz w:val="24"/>
          <w:szCs w:val="24"/>
        </w:rPr>
      </w:pP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>Załącznik dotyczący pomocy publicznej lub pomocy de minimis – wymagany.</w:t>
      </w:r>
    </w:p>
    <w:p w14:paraId="3B4DC505" w14:textId="63EA254B" w:rsidR="00D60023" w:rsidRPr="005A60A2" w:rsidRDefault="005A60A2" w:rsidP="00DA0234">
      <w:pPr>
        <w:pStyle w:val="Akapitzlist"/>
        <w:numPr>
          <w:ilvl w:val="0"/>
          <w:numId w:val="29"/>
        </w:numPr>
        <w:rPr>
          <w:rStyle w:val="markedcontent"/>
          <w:rFonts w:ascii="Open Sans Light" w:hAnsi="Open Sans Light" w:cs="Open Sans Light"/>
          <w:sz w:val="24"/>
          <w:szCs w:val="24"/>
        </w:rPr>
      </w:pPr>
      <w:r w:rsidRPr="005A60A2">
        <w:rPr>
          <w:rStyle w:val="markedcontent"/>
          <w:rFonts w:ascii="Open Sans Light" w:hAnsi="Open Sans Light" w:cs="Open Sans Light"/>
          <w:sz w:val="24"/>
          <w:szCs w:val="24"/>
        </w:rPr>
        <w:t xml:space="preserve">Akt powierzenia usług w ogólnym interesie gospodarczym i inne dokumenty potwierdzające dopuszczalność pomocy publicznej lub pomocy de minimis – wymagane, gdy dofinansowanie stanowi pomoc publiczną lub pomoc de minimis  </w:t>
      </w:r>
    </w:p>
    <w:p w14:paraId="6A29BCAA" w14:textId="400092B9" w:rsidR="00960AB3" w:rsidRPr="00D60023" w:rsidRDefault="00960AB3" w:rsidP="00DA0234">
      <w:pPr>
        <w:pStyle w:val="Akapitzlist"/>
        <w:numPr>
          <w:ilvl w:val="0"/>
          <w:numId w:val="29"/>
        </w:numPr>
        <w:spacing w:after="0" w:line="276" w:lineRule="auto"/>
        <w:rPr>
          <w:rStyle w:val="markedcontent"/>
          <w:rFonts w:ascii="Open Sans Light" w:hAnsi="Open Sans Light" w:cs="Open Sans Light"/>
          <w:sz w:val="24"/>
          <w:szCs w:val="24"/>
        </w:rPr>
      </w:pPr>
      <w:r w:rsidRPr="00960AB3">
        <w:rPr>
          <w:rStyle w:val="markedcontent"/>
          <w:rFonts w:ascii="Open Sans Light" w:hAnsi="Open Sans Light" w:cs="Open Sans Light"/>
          <w:sz w:val="24"/>
          <w:szCs w:val="24"/>
        </w:rPr>
        <w:t>Zakres kategorii udostępnianych danych osobowych</w:t>
      </w:r>
      <w:r w:rsidR="00F916D0">
        <w:rPr>
          <w:rStyle w:val="markedcontent"/>
          <w:rFonts w:ascii="Open Sans Light" w:hAnsi="Open Sans Light" w:cs="Open Sans Light"/>
          <w:sz w:val="24"/>
          <w:szCs w:val="24"/>
        </w:rPr>
        <w:t xml:space="preserve"> -wymagany</w:t>
      </w:r>
    </w:p>
    <w:p w14:paraId="5C2E646B" w14:textId="5FE6BA1E" w:rsidR="00094932" w:rsidRPr="00987AD1" w:rsidRDefault="00B15B66" w:rsidP="00DA0234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lastRenderedPageBreak/>
        <w:t>Inne dokumenty, uznane za konieczne do złożenia przez wnioskodawcę</w:t>
      </w:r>
      <w:r w:rsid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br/>
      </w:r>
      <w:r w:rsidR="00F90899" w:rsidRP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–</w:t>
      </w:r>
      <w:r w:rsidR="00DE2DD6" w:rsidRPr="00987AD1">
        <w:rPr>
          <w:rFonts w:ascii="Open Sans Light" w:hAnsi="Open Sans Light" w:cs="Open Sans Light"/>
          <w:bCs/>
          <w:sz w:val="24"/>
          <w:szCs w:val="24"/>
        </w:rPr>
        <w:t xml:space="preserve"> opcjonalny</w:t>
      </w: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.</w:t>
      </w:r>
    </w:p>
    <w:p w14:paraId="26CF020E" w14:textId="2C88D960" w:rsidR="009F03DF" w:rsidRPr="00987AD1" w:rsidRDefault="002021CD" w:rsidP="00AB7F2A">
      <w:pPr>
        <w:spacing w:before="240" w:after="0" w:line="276" w:lineRule="auto"/>
        <w:jc w:val="both"/>
        <w:rPr>
          <w:rFonts w:ascii="Open Sans Light" w:hAnsi="Open Sans Light" w:cs="Open Sans Light"/>
          <w:b/>
          <w:sz w:val="24"/>
          <w:szCs w:val="24"/>
        </w:rPr>
      </w:pPr>
      <w:r w:rsidRPr="00987AD1">
        <w:rPr>
          <w:rFonts w:ascii="Open Sans Light" w:hAnsi="Open Sans Light" w:cs="Open Sans Light"/>
          <w:b/>
          <w:sz w:val="24"/>
          <w:szCs w:val="24"/>
        </w:rPr>
        <w:t>UWAGI:</w:t>
      </w:r>
    </w:p>
    <w:p w14:paraId="6C05B690" w14:textId="17A394D4" w:rsidR="00357143" w:rsidRPr="00987AD1" w:rsidRDefault="00FB6ECC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Style w:val="Odwoaniedokomentarza"/>
          <w:rFonts w:ascii="Open Sans Light" w:eastAsia="Calibri" w:hAnsi="Open Sans Light" w:cs="Open Sans Light"/>
          <w:sz w:val="24"/>
          <w:szCs w:val="24"/>
        </w:rPr>
        <w:t>W</w:t>
      </w:r>
      <w:r w:rsidR="00357143" w:rsidRPr="00987AD1">
        <w:rPr>
          <w:rFonts w:ascii="Open Sans Light" w:hAnsi="Open Sans Light" w:cs="Open Sans Light"/>
          <w:sz w:val="24"/>
          <w:szCs w:val="24"/>
        </w:rPr>
        <w:t>ielkość pojedynczego załącz</w:t>
      </w:r>
      <w:r w:rsidR="000327C9" w:rsidRPr="00987AD1">
        <w:rPr>
          <w:rFonts w:ascii="Open Sans Light" w:hAnsi="Open Sans Light" w:cs="Open Sans Light"/>
          <w:sz w:val="24"/>
          <w:szCs w:val="24"/>
        </w:rPr>
        <w:t>nika nie może przekraczać 25 MB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239906C" w14:textId="17D141A5" w:rsidR="00357143" w:rsidRPr="00987AD1" w:rsidRDefault="00357143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Dopuszcza się składanie załączników w formie</w:t>
      </w:r>
      <w:r w:rsidR="000327C9" w:rsidRPr="00987AD1">
        <w:rPr>
          <w:rFonts w:ascii="Open Sans Light" w:hAnsi="Open Sans Light" w:cs="Open Sans Light"/>
          <w:sz w:val="24"/>
          <w:szCs w:val="24"/>
        </w:rPr>
        <w:t xml:space="preserve"> skompresowanej (zip, rar, 7z)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18117016" w14:textId="16AFE7F3" w:rsidR="00BC1522" w:rsidRPr="00BC1522" w:rsidRDefault="009E6CDC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 xml:space="preserve"> </w:t>
      </w:r>
      <w:r w:rsidR="003262E3">
        <w:rPr>
          <w:rFonts w:ascii="Open Sans Light" w:hAnsi="Open Sans Light" w:cs="Open Sans Light"/>
          <w:sz w:val="24"/>
          <w:szCs w:val="24"/>
        </w:rPr>
        <w:t>Tabele, a w szczególności m</w:t>
      </w:r>
      <w:r>
        <w:rPr>
          <w:rFonts w:ascii="Open Sans Light" w:hAnsi="Open Sans Light" w:cs="Open Sans Light"/>
          <w:sz w:val="24"/>
          <w:szCs w:val="24"/>
        </w:rPr>
        <w:t xml:space="preserve">odel finansowy </w:t>
      </w:r>
      <w:r w:rsidR="003262E3">
        <w:rPr>
          <w:rFonts w:ascii="Open Sans Light" w:hAnsi="Open Sans Light" w:cs="Open Sans Light"/>
          <w:sz w:val="24"/>
          <w:szCs w:val="24"/>
        </w:rPr>
        <w:t>powinny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być </w:t>
      </w:r>
      <w:r w:rsidR="00582D43">
        <w:rPr>
          <w:rFonts w:ascii="Open Sans Light" w:hAnsi="Open Sans Light" w:cs="Open Sans Light"/>
          <w:sz w:val="24"/>
          <w:szCs w:val="24"/>
        </w:rPr>
        <w:t>sporządzon</w:t>
      </w:r>
      <w:r w:rsidR="003262E3">
        <w:rPr>
          <w:rFonts w:ascii="Open Sans Light" w:hAnsi="Open Sans Light" w:cs="Open Sans Light"/>
          <w:sz w:val="24"/>
          <w:szCs w:val="24"/>
        </w:rPr>
        <w:t>e</w:t>
      </w:r>
      <w:r w:rsidR="00582D43">
        <w:rPr>
          <w:rFonts w:ascii="Open Sans Light" w:hAnsi="Open Sans Light" w:cs="Open Sans Light"/>
          <w:sz w:val="24"/>
          <w:szCs w:val="24"/>
        </w:rPr>
        <w:t xml:space="preserve"> w formie arkusza kalkulacyjnego (przykładowe formaty </w:t>
      </w:r>
      <w:r w:rsidR="00357143" w:rsidRPr="00987AD1">
        <w:rPr>
          <w:rFonts w:ascii="Open Sans Light" w:hAnsi="Open Sans Light" w:cs="Open Sans Light"/>
          <w:sz w:val="24"/>
          <w:szCs w:val="24"/>
        </w:rPr>
        <w:t>xls, xlsx lub xlsm</w:t>
      </w:r>
      <w:r w:rsidR="00582D43">
        <w:rPr>
          <w:rFonts w:ascii="Open Sans Light" w:hAnsi="Open Sans Light" w:cs="Open Sans Light"/>
          <w:sz w:val="24"/>
          <w:szCs w:val="24"/>
        </w:rPr>
        <w:t xml:space="preserve">). Poszczególne skoroszyty (zakładki) arkusza kalkulacyjnego powinny 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mieć odblokowane formuły, aby można było prześledzić </w:t>
      </w:r>
      <w:r w:rsidR="000327C9" w:rsidRPr="00987AD1">
        <w:rPr>
          <w:rFonts w:ascii="Open Sans Light" w:hAnsi="Open Sans Light" w:cs="Open Sans Light"/>
          <w:sz w:val="24"/>
          <w:szCs w:val="24"/>
        </w:rPr>
        <w:t>poprawność dokonanych wyliczeń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  <w:r w:rsidR="00E83303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2342F644" w14:textId="710997CC" w:rsidR="00357143" w:rsidRPr="00987AD1" w:rsidRDefault="00357143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Nazwy plików powinny wskazywać na ich zawartość i ni</w:t>
      </w:r>
      <w:r w:rsidR="000327C9" w:rsidRPr="00987AD1">
        <w:rPr>
          <w:rFonts w:ascii="Open Sans Light" w:hAnsi="Open Sans Light" w:cs="Open Sans Light"/>
          <w:sz w:val="24"/>
          <w:szCs w:val="24"/>
        </w:rPr>
        <w:t>e mogą zawierać polskich znaków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1E9F75D" w14:textId="0C08F58E" w:rsidR="00357143" w:rsidRPr="00987AD1" w:rsidRDefault="005A67A4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bookmarkStart w:id="0" w:name="_Hlk135825350"/>
      <w:r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 xml:space="preserve">Oświadczenia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stanowiące załączniki do wniosku muszą zostać podpisane elektronicznym podpisem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kwalifikowanym</w:t>
      </w:r>
      <w:bookmarkEnd w:id="0"/>
      <w:r w:rsidR="00327C1F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.</w:t>
      </w:r>
    </w:p>
    <w:p w14:paraId="1EEADD67" w14:textId="4F1B0ABA" w:rsidR="00FB6ECC" w:rsidRPr="00987AD1" w:rsidRDefault="00FB6ECC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Jeśli załącznik został opracował wg załączonego wzoru (a nie jest 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o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świadczeniem),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należy go również podpisać </w:t>
      </w:r>
      <w:r w:rsidR="007B1448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elektronicznym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podpisem kwalifikowanym</w:t>
      </w:r>
      <w:r w:rsidR="00327C1F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.</w:t>
      </w:r>
    </w:p>
    <w:p w14:paraId="614F8FB5" w14:textId="65D1E48B" w:rsidR="00357143" w:rsidRPr="00987AD1" w:rsidRDefault="00357143" w:rsidP="00BC1522">
      <w:pPr>
        <w:pStyle w:val="Akapitzlist"/>
        <w:numPr>
          <w:ilvl w:val="0"/>
          <w:numId w:val="19"/>
        </w:numPr>
        <w:spacing w:after="7440" w:line="276" w:lineRule="auto"/>
        <w:ind w:left="714" w:hanging="357"/>
        <w:contextualSpacing w:val="0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Kopie dokumentów, które stanowią załącznik do wniosku, muszą być poświadczone za zgodność z oryginałem i podpisane elektro</w:t>
      </w:r>
      <w:r w:rsidR="000327C9" w:rsidRPr="00987AD1">
        <w:rPr>
          <w:rFonts w:ascii="Open Sans Light" w:hAnsi="Open Sans Light" w:cs="Open Sans Light"/>
          <w:sz w:val="24"/>
          <w:szCs w:val="24"/>
        </w:rPr>
        <w:t>nicznym podpisem kwalifikowanym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1CF5C8DB" w14:textId="0A20A4CF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BD4AC34" w14:textId="77777777" w:rsidR="00DF359B" w:rsidRPr="00987AD1" w:rsidRDefault="00DF359B" w:rsidP="007E1F1C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01F6BC7F" wp14:editId="1665DE38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A441CE" w14:textId="189BD361" w:rsidR="00D641DC" w:rsidRDefault="00DF359B" w:rsidP="007E1F1C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Zakres studium wykonalności</w:t>
      </w:r>
    </w:p>
    <w:p w14:paraId="6EE4129B" w14:textId="3C2DDDC7" w:rsidR="005C0B35" w:rsidRDefault="00BC1522" w:rsidP="007E1F1C">
      <w:pPr>
        <w:spacing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BC1522">
        <w:rPr>
          <w:rFonts w:ascii="Open Sans Light" w:hAnsi="Open Sans Light" w:cs="Open Sans Light"/>
          <w:b/>
          <w:sz w:val="24"/>
          <w:szCs w:val="24"/>
        </w:rPr>
        <w:t>Działanie FENX.01.04 Gospodarka odpadami oraz gospodarka o obiegu zamkniętym</w:t>
      </w:r>
    </w:p>
    <w:p w14:paraId="40DA9DE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1.</w:t>
      </w:r>
      <w:r w:rsidRPr="00987AD1">
        <w:rPr>
          <w:rFonts w:ascii="Open Sans Light" w:hAnsi="Open Sans Light" w:cs="Open Sans Light"/>
          <w:b/>
        </w:rPr>
        <w:tab/>
        <w:t xml:space="preserve">Podsumowanie danych na temat przedsięwzięcia </w:t>
      </w:r>
    </w:p>
    <w:p w14:paraId="1DE85800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1.1. Wnioskodawca przedsięwzięcia </w:t>
      </w:r>
    </w:p>
    <w:p w14:paraId="7584AA80" w14:textId="75621078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1.2. Podmioty odpowiedzialne za realizację przedsięwzięcia (beneficjent i inne podmioty</w:t>
      </w:r>
      <w:r w:rsidRPr="00987AD1">
        <w:rPr>
          <w:rStyle w:val="Odwoanieprzypisudolnego"/>
          <w:rFonts w:ascii="Open Sans Light" w:hAnsi="Open Sans Light" w:cs="Open Sans Light"/>
        </w:rPr>
        <w:footnoteReference w:id="1"/>
      </w:r>
      <w:r w:rsidRPr="00987AD1">
        <w:rPr>
          <w:rFonts w:ascii="Open Sans Light" w:hAnsi="Open Sans Light" w:cs="Open Sans Light"/>
        </w:rPr>
        <w:t xml:space="preserve">  – o ile dotyczy)</w:t>
      </w:r>
    </w:p>
    <w:p w14:paraId="7D8DDAAC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1.1.1. Potencjał techniczny, prawny, finansowy i administracyjny beneficjenta</w:t>
      </w:r>
    </w:p>
    <w:p w14:paraId="460AE12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1.1.2. Beneficjent i inne podmioty (o ile dotyczy)</w:t>
      </w:r>
    </w:p>
    <w:p w14:paraId="2A6CB24B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1.3. Dane dotyczące przedsięwzięcia </w:t>
      </w:r>
    </w:p>
    <w:p w14:paraId="2700BD4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1.3.1. Tytuł przedsięwzięcia </w:t>
      </w:r>
    </w:p>
    <w:p w14:paraId="6269A142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1.3.2. Podstawowe niedobory istniejącego systemu </w:t>
      </w:r>
    </w:p>
    <w:p w14:paraId="095C4CBA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1.3.3. Cele przedsięwzięcia </w:t>
      </w:r>
    </w:p>
    <w:p w14:paraId="34F836B1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1.3.4. Opis przedsięwzięcia, w tym zakres rzeczowy i koszt przedsięwzięcia</w:t>
      </w:r>
    </w:p>
    <w:p w14:paraId="3156E3D7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1.3.5. Wyniki analizy wykonalności, popytu i opcji </w:t>
      </w:r>
    </w:p>
    <w:p w14:paraId="6D6F8A24" w14:textId="27849F13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1.3.6. Zgodność przedsięwzięcia z Programem Operacyjnym oraz polityką Polski i UE w zakresie ochrony środowiska </w:t>
      </w:r>
    </w:p>
    <w:p w14:paraId="6B137B8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1.4. Analiza oddziaływania przedsięwzięcia na środowisko, z uwzględnieniem potrzeb dotyczących przystosowania się do zmiany klimatu i łagodzenia zmian klimatu    </w:t>
      </w:r>
    </w:p>
    <w:p w14:paraId="65765B48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1.5. Plan wdrożenia przedsięwzięcia </w:t>
      </w:r>
    </w:p>
    <w:p w14:paraId="0898BB6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1.5.1. Struktura instytucjonalna realizacji przedsięwzięcia </w:t>
      </w:r>
    </w:p>
    <w:p w14:paraId="6659A3D2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1.5.2. Niezbędne działania instytucjonalne i administracyjne  </w:t>
      </w:r>
    </w:p>
    <w:p w14:paraId="17EEADD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1.5.3. Harmonogram realizacji przedsięwzięcia </w:t>
      </w:r>
    </w:p>
    <w:p w14:paraId="3A90094B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1.6. Wyniki analizy finansowej </w:t>
      </w:r>
    </w:p>
    <w:p w14:paraId="42C1433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1.7. Plan finansowania przedsięwzięcia</w:t>
      </w:r>
    </w:p>
    <w:p w14:paraId="0B3C349B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1.8. Wyniki analizy trwałości finansowej</w:t>
      </w:r>
    </w:p>
    <w:p w14:paraId="1FBAC473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1.9. Wyniki analizy kosztów i korzyści </w:t>
      </w:r>
    </w:p>
    <w:p w14:paraId="5B0F34B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1.10. Wyniki analizy ryzyka i wrażliwości </w:t>
      </w:r>
    </w:p>
    <w:p w14:paraId="7166082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1.11. Komplementarność przedsięwzięcia względem innych projektów</w:t>
      </w:r>
    </w:p>
    <w:p w14:paraId="0C0BB34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2. Opis istniejącego systemu odpadowego</w:t>
      </w:r>
    </w:p>
    <w:p w14:paraId="37E9028F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2.1. Struktura organizacyjna działania systemu</w:t>
      </w:r>
    </w:p>
    <w:p w14:paraId="0113ED0A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2.1.1. Struktura organizacyjna z uwzględnieniem podziału kompetencji, współzależności i struktury własności </w:t>
      </w:r>
    </w:p>
    <w:p w14:paraId="747937E0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2.1.2. Informacje na temat podmiotów funkcjonujących w systemie </w:t>
      </w:r>
    </w:p>
    <w:p w14:paraId="696182C3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2.1.2.1. Krótka historia, forma prawna i struktura własności </w:t>
      </w:r>
    </w:p>
    <w:p w14:paraId="5CE257EB" w14:textId="77777777" w:rsidR="00BC1522" w:rsidRPr="00987AD1" w:rsidRDefault="00BC1522" w:rsidP="00384E2D">
      <w:pPr>
        <w:spacing w:after="0" w:line="288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2.1.2.2. Istniejąca lub potencjalna konkurencja na rynku oferowanych usług, porównanie cen w przekroju regionalnym i krajowym, obecny udział podmiotu w rynku (o ile dotyczy)</w:t>
      </w:r>
    </w:p>
    <w:p w14:paraId="7253AD7B" w14:textId="21A343FE" w:rsidR="00BC1522" w:rsidRPr="00987AD1" w:rsidRDefault="00BC1522" w:rsidP="00384E2D">
      <w:pPr>
        <w:spacing w:after="0" w:line="288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2.1.2.3. Prezentacja sytuacji finansowej beneficjenta i innych podmiotów (o ile dotyczy) – podstawowe dane i wskaźniki obejmujące min. 3 lata wstecz </w:t>
      </w:r>
    </w:p>
    <w:p w14:paraId="0F334318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2.2. Parametry ilościowe i jakościowe w istniejącym systemie </w:t>
      </w:r>
    </w:p>
    <w:p w14:paraId="3CA1A97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2.3. Charakterystyka techniczna istniejącego systemu </w:t>
      </w:r>
    </w:p>
    <w:p w14:paraId="20EFFBFA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2.4. Zgodność działania systemu z wymaganiami polskimi i UE  </w:t>
      </w:r>
    </w:p>
    <w:p w14:paraId="31A257F3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2.4.1. Zgodność projektu z wojewódzkim planem gospodarki odpadami oraz planem </w:t>
      </w:r>
    </w:p>
    <w:p w14:paraId="3C14CC9C" w14:textId="77777777" w:rsidR="00BC1522" w:rsidRPr="00987AD1" w:rsidRDefault="00BC1522" w:rsidP="00384E2D">
      <w:pPr>
        <w:spacing w:after="0" w:line="288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inwestycyjnym</w:t>
      </w:r>
    </w:p>
    <w:p w14:paraId="04FA538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2.5. Opis niedoborów jakościowych i ilościowych w stosunku do stanu pożądanego </w:t>
      </w:r>
    </w:p>
    <w:p w14:paraId="1262B670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2.6. Zakres inwestycji niezbędnych do zniwelowania niedoborów jakościowych i ilościowych </w:t>
      </w:r>
    </w:p>
    <w:p w14:paraId="6FFDA51A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systemu, w tym inwestycji odtworzeniowych </w:t>
      </w:r>
    </w:p>
    <w:p w14:paraId="3A41FDE3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3. Analiza i prognoza popytu </w:t>
      </w:r>
      <w:r w:rsidRPr="00987AD1">
        <w:rPr>
          <w:rFonts w:ascii="Open Sans Light" w:hAnsi="Open Sans Light" w:cs="Open Sans Light"/>
          <w:i/>
        </w:rPr>
        <w:t>(Wypełnić stosowanie do charakteru przedsięwzięcia)</w:t>
      </w:r>
    </w:p>
    <w:p w14:paraId="10B5CC1A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3.1. Uwarunkowania społeczno-gospodarcze realizacji przedsięwzięcia</w:t>
      </w:r>
    </w:p>
    <w:p w14:paraId="2963C4BC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3.1.1. Struktura i skala działalności gospodarczej w regionie</w:t>
      </w:r>
    </w:p>
    <w:p w14:paraId="737F181E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3.1.2. Prognozy i strategie rozwojowe dla regionu</w:t>
      </w:r>
    </w:p>
    <w:p w14:paraId="6DCD1D1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3.2. Bieżący i przyszły popyt zgłaszany przez gospodarstwa domowe</w:t>
      </w:r>
    </w:p>
    <w:p w14:paraId="70E23EFE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3.2.1. Bieżący popyt oraz identyfikacja aktualnej liczby odbiorców indywidualnych</w:t>
      </w:r>
    </w:p>
    <w:p w14:paraId="32977A4E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3.2.2. Prognozy jakościowe i ilościowe zapotrzebowania na usługi          </w:t>
      </w:r>
    </w:p>
    <w:p w14:paraId="783BC8B1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3.2.2.1. Prognozy demograficzne z uwzględnieniem ruchów migracyjnych</w:t>
      </w:r>
    </w:p>
    <w:p w14:paraId="288F1DA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3.2.2.2. Analiza zdolności mieszkańców do ponoszenia opłat</w:t>
      </w:r>
    </w:p>
    <w:p w14:paraId="157119C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3.2.2.3. Przyszły popyt zgłaszany przez odbiorców indywidualnych z </w:t>
      </w:r>
    </w:p>
    <w:p w14:paraId="2EF6FB81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uwzględnieniem cenowej i dochodowej elastyczności popytu</w:t>
      </w:r>
    </w:p>
    <w:p w14:paraId="541B4247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3.3. Bieżący i przyszły popyt zgłaszany przez przemysł</w:t>
      </w:r>
    </w:p>
    <w:p w14:paraId="34CA836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3.3.1. Bieżący popyt</w:t>
      </w:r>
    </w:p>
    <w:p w14:paraId="581F9F38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3.3.2. Przyszły popyt</w:t>
      </w:r>
    </w:p>
    <w:p w14:paraId="502C05E7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3.4. Bieżący i przyszły popyt zgłaszany przez podmioty użyteczności publicznej i sektor</w:t>
      </w:r>
    </w:p>
    <w:p w14:paraId="43EB519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usługowy</w:t>
      </w:r>
    </w:p>
    <w:p w14:paraId="35A63CE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3.4.1. Bieżący popyt</w:t>
      </w:r>
    </w:p>
    <w:p w14:paraId="457AB64B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3.4.2. Przyszły popyt</w:t>
      </w:r>
    </w:p>
    <w:p w14:paraId="0FB02F52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3.5. Bieżący i przyszły popyt łącznie</w:t>
      </w:r>
    </w:p>
    <w:p w14:paraId="1C9B9F92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4.</w:t>
      </w:r>
      <w:r w:rsidRPr="00987AD1">
        <w:rPr>
          <w:rFonts w:ascii="Open Sans Light" w:hAnsi="Open Sans Light" w:cs="Open Sans Light"/>
          <w:b/>
        </w:rPr>
        <w:tab/>
        <w:t xml:space="preserve">Analiza wykonalności przedsięwzięcia wraz z analizą opcji  </w:t>
      </w:r>
    </w:p>
    <w:p w14:paraId="1945556B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4.1. Zakres i metodyka analizy  </w:t>
      </w:r>
    </w:p>
    <w:p w14:paraId="13EAB840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4.2. Analiza wykonalności (identyfikacja możliwych rozwiązań lokalizacyjnych i technologicznych, w tym wariantów poddanych analizie podczas oceny oddziaływania na środowisko)</w:t>
      </w:r>
    </w:p>
    <w:p w14:paraId="2EAB229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4.3. Analiza opcji  </w:t>
      </w:r>
    </w:p>
    <w:p w14:paraId="765A4B7F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4.3.1. Analiza strategiczna – zidentyfikowanie najbardziej korzystnych   rozwiązań (analiza jakościowa)</w:t>
      </w:r>
    </w:p>
    <w:p w14:paraId="010F4F23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4.3.2. Analiza rozwiązań technologicznych (analiza opcji ilościowa) </w:t>
      </w:r>
    </w:p>
    <w:p w14:paraId="435B98E7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4.3.2.1. Oszacowanie kosztów dla wybranych rozwiązań   </w:t>
      </w:r>
    </w:p>
    <w:p w14:paraId="2C05AFAF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4.3.2.2. Finansowe i ekonomiczne porównanie rozważanych opcji </w:t>
      </w:r>
    </w:p>
    <w:p w14:paraId="7131A2B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4.3.2.3. Porównanie rozważanych opcji pod względem środowiskowym (uwzględniając wpływ oraz odporność na zmianę klimatu i zagrożenia związane z klęskami żywiołowymi) </w:t>
      </w:r>
    </w:p>
    <w:p w14:paraId="183D2885" w14:textId="0F7434FA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4.4. Wybór najlepszego rozwiązania spośród rozważanych opcji wraz z uzasadnieniem dokonanego wyboru.</w:t>
      </w:r>
    </w:p>
    <w:p w14:paraId="55EDD19B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5. Analiza instytucjonalna przedsięwzięcia</w:t>
      </w:r>
    </w:p>
    <w:p w14:paraId="1F8F020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5.1. Charakterystyka rozważanych rozwiązań inwestycyjnych w fazie inwestycyjnej i operacyjnej przedsięwzięcia. </w:t>
      </w:r>
    </w:p>
    <w:p w14:paraId="4C4E5EE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5.2. Analiza SWOT zidentyfikowanych rozwiązań instytucjonalnych </w:t>
      </w:r>
    </w:p>
    <w:p w14:paraId="759C786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5.3. Wskazanie najefektywniejszego rozwiązania instytucjonalnego wraz z uzasadnieniem.  </w:t>
      </w:r>
    </w:p>
    <w:p w14:paraId="04D4A127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6. Opis projektu</w:t>
      </w:r>
    </w:p>
    <w:p w14:paraId="6C37100F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6.1. Cele projektu</w:t>
      </w:r>
    </w:p>
    <w:p w14:paraId="177006D0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6.2. Zakres rzeczowy projektu (w odniesieniu do stwierdzonych niedoborów jakościowych i   ilościowych systemu), wskaźniki </w:t>
      </w:r>
    </w:p>
    <w:p w14:paraId="3FC21AA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6.3. Opis i charakterystyka wybranej technologii  </w:t>
      </w:r>
    </w:p>
    <w:p w14:paraId="148632C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6.3.1. Podstawowe parametry technologiczne </w:t>
      </w:r>
    </w:p>
    <w:p w14:paraId="7B5673D3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6.3.2. Opis podstawowych obiektów i urządzeń, w tym zakres działań  </w:t>
      </w:r>
    </w:p>
    <w:p w14:paraId="3EA651B3" w14:textId="77777777" w:rsidR="00BC1522" w:rsidRPr="00987AD1" w:rsidRDefault="00BC1522" w:rsidP="00384E2D">
      <w:pPr>
        <w:spacing w:after="0" w:line="288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podejmowanych w ramach przedsięwzięcia </w:t>
      </w:r>
    </w:p>
    <w:p w14:paraId="0D99172C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6.3.3. Wpływ realizacji projekt na efektywność energetyczną  oraz na zapewnienie </w:t>
      </w:r>
    </w:p>
    <w:p w14:paraId="451AAFFA" w14:textId="77777777" w:rsidR="00BC1522" w:rsidRPr="00987AD1" w:rsidRDefault="00BC1522" w:rsidP="00384E2D">
      <w:pPr>
        <w:spacing w:after="0" w:line="288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oszczędności wody</w:t>
      </w:r>
    </w:p>
    <w:p w14:paraId="2BDDDE1E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6.3.4. Sposób zagospodarowania produktów ubocznych</w:t>
      </w:r>
    </w:p>
    <w:p w14:paraId="799EE5A2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6.4. Lokalizacja przedsięwzięcia  </w:t>
      </w:r>
    </w:p>
    <w:p w14:paraId="5FDC75A8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6.4.1. Opis lokalizacji przedsięwzięcia </w:t>
      </w:r>
    </w:p>
    <w:p w14:paraId="279A86F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6.4.2. Dostępność terenów pod inwestycje, koszty zakupu oraz rekompensat </w:t>
      </w:r>
    </w:p>
    <w:p w14:paraId="6E38C93C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6.4.3. Zgodność przedsięwzięcia z miejscowymi planami zagospodarowania przestrzennego </w:t>
      </w:r>
    </w:p>
    <w:p w14:paraId="138CE747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6.5. Kwalifikowane i niekwalifikowane koszty inwestycyjne projektu ze wskazaniem przyjętej metodyki ich szacowania – identyfikacja czy projekt jest projektem dużym</w:t>
      </w:r>
    </w:p>
    <w:p w14:paraId="1F91589A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6.5.1. Koszty przygotowawcze </w:t>
      </w:r>
    </w:p>
    <w:p w14:paraId="2600BC33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6.5.2. Koszty prac budowlano – montażowych, wielkość nakładów na majątek trwały</w:t>
      </w:r>
    </w:p>
    <w:p w14:paraId="0540C97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6.5.3. Pozostałe kategorie kosztów  </w:t>
      </w:r>
    </w:p>
    <w:p w14:paraId="217DCB60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6.6. Zbiorcze zestawienie zadań budowlanych  </w:t>
      </w:r>
    </w:p>
    <w:p w14:paraId="71EFDFF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6.7. Działania informacyjno-promocyjne</w:t>
      </w:r>
    </w:p>
    <w:p w14:paraId="1A70DD01" w14:textId="78211C28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6.8. Niezbędne inwestycje odtworzeniowe przedsięwzięcia w fazie operacyjnej </w:t>
      </w:r>
    </w:p>
    <w:p w14:paraId="540D332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7. Analiza oddziaływania na środowisko, z uwzględnieniem potrzeb dotyczących przystosowania się i łagodzenia zmian klimatu oraz odporności na klęski żywiołowe</w:t>
      </w:r>
    </w:p>
    <w:p w14:paraId="197029B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7.1. Zgodność projektu z politykami ochrony środowiska  </w:t>
      </w:r>
    </w:p>
    <w:p w14:paraId="7EFD6DC7" w14:textId="2942135C" w:rsidR="00BC1522" w:rsidRPr="00987AD1" w:rsidRDefault="00BC1522" w:rsidP="00384E2D">
      <w:pPr>
        <w:spacing w:after="0" w:line="288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7.1.1. Sposób wdrożenia przez projekt polityki UE w zakresie zrównoważonego rozwoju, ochrony środowiska, zmian klimatu  </w:t>
      </w:r>
    </w:p>
    <w:p w14:paraId="5B6967BF" w14:textId="77777777" w:rsidR="00BC1522" w:rsidRPr="00987AD1" w:rsidRDefault="00BC1522" w:rsidP="00384E2D">
      <w:pPr>
        <w:spacing w:after="0" w:line="288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7.1.2. Przyczynienie się wdrożenia projektu do przestrzegania zasady ostrożności i działań zapobiegawczych </w:t>
      </w:r>
    </w:p>
    <w:p w14:paraId="75BDFF59" w14:textId="77777777" w:rsidR="00BC1522" w:rsidRPr="00987AD1" w:rsidRDefault="00BC1522" w:rsidP="00384E2D">
      <w:pPr>
        <w:spacing w:after="0" w:line="288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7.1.3. Sposób wdrożenia przez projekt zasady zapobiegania zanieczyszczeniom u źródła i zasady zanieczyszczający płaci</w:t>
      </w:r>
    </w:p>
    <w:p w14:paraId="52434CD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7.2. Ocena oddziaływania przedsięwzięcia na środowisko (OOŚ)</w:t>
      </w:r>
    </w:p>
    <w:p w14:paraId="7AE76A22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7.2.1. Klasyfikacja przedsięwzięcia pod katem wymogu przeprowadzenia oceny oddziaływania na   środowisko w świetle przepisów prawa polskiego i UE.</w:t>
      </w:r>
    </w:p>
    <w:p w14:paraId="1ADF83A1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7.2.2. Stan zaawansowania wymaganych postępowań ws. OOŚ, ocena poprawności przeprowadzonych procedur pod kątem zgodności z wymogami Dyrektywy 2011/92/UE</w:t>
      </w:r>
    </w:p>
    <w:p w14:paraId="0BC972E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7.2.3. Ocena wpływu przedsięwzięcia na obszary Natura 2000 wraz z prezentacją                 przeprowadzonych postępowań administracyjnych.</w:t>
      </w:r>
    </w:p>
    <w:p w14:paraId="4A4A09B2" w14:textId="77777777" w:rsidR="00BC1522" w:rsidRPr="00987AD1" w:rsidRDefault="00BC1522" w:rsidP="00384E2D">
      <w:pPr>
        <w:spacing w:after="0" w:line="288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7.2.4. Rozwiązania na rzecz zmniejszenia lub skompensowania negatywnego oddziaływania na środowisko.</w:t>
      </w:r>
    </w:p>
    <w:p w14:paraId="1562BC38" w14:textId="77777777" w:rsidR="00BC1522" w:rsidRPr="00987AD1" w:rsidRDefault="00BC1522" w:rsidP="00384E2D">
      <w:pPr>
        <w:spacing w:after="0" w:line="288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7.3. Spójność przedsięwzięcia z sektorowymi planami i programami związanymi z wdrożeniem polityki wspólnotowej lub przepisów dotyczących gospodarki odpadami.</w:t>
      </w:r>
    </w:p>
    <w:p w14:paraId="07DB7FEC" w14:textId="77777777" w:rsidR="00BC1522" w:rsidRPr="00987AD1" w:rsidRDefault="00BC1522" w:rsidP="00384E2D">
      <w:pPr>
        <w:spacing w:after="0" w:line="288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 Przystosowanie się do zmian klimatu i łagodzenie zmian klimatu, a także odporność na klęski żywiołowe.</w:t>
      </w:r>
    </w:p>
    <w:p w14:paraId="0AC73078" w14:textId="77777777" w:rsidR="00BC1522" w:rsidRPr="00987AD1" w:rsidRDefault="00BC1522" w:rsidP="00384E2D">
      <w:pPr>
        <w:spacing w:after="0" w:line="288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7.4.1. Realizacja celów w zakresie zmian klimatu zgodnie ze strategią „Europa 2020”</w:t>
      </w:r>
    </w:p>
    <w:p w14:paraId="169B13C2" w14:textId="77777777" w:rsidR="00BC1522" w:rsidRPr="00987AD1" w:rsidRDefault="00BC1522" w:rsidP="00384E2D">
      <w:pPr>
        <w:spacing w:after="0" w:line="288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7.4.2. Zagrożenia związane ze zmianą klimatu, kwestie dotyczące przystosowania się do zmian klimatu i ich łagodzenia oraz odporność na klęski żywiołowe</w:t>
      </w:r>
    </w:p>
    <w:p w14:paraId="5651BABD" w14:textId="77777777" w:rsidR="00BC1522" w:rsidRPr="00987AD1" w:rsidRDefault="00BC1522" w:rsidP="00384E2D">
      <w:pPr>
        <w:spacing w:after="0" w:line="288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7.4.3. Zapewnienie odporności na bieżącą zmienność klimatu i przyszłą zmianę klimatu w ramach projektu</w:t>
      </w:r>
    </w:p>
    <w:p w14:paraId="1875C68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7.5. Strategiczne oceny oddziaływania na środowisko.</w:t>
      </w:r>
    </w:p>
    <w:p w14:paraId="794D9855" w14:textId="77777777" w:rsidR="00BC1522" w:rsidRPr="00987AD1" w:rsidRDefault="00BC1522" w:rsidP="00384E2D">
      <w:pPr>
        <w:tabs>
          <w:tab w:val="left" w:pos="1276"/>
        </w:tabs>
        <w:spacing w:after="0" w:line="288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7.5.1. Plany i programy podlegające ocenom oddziaływania na środowisko (zgodnie z Dyrektywą 2001/42/WE), z których wynika realizacja przedsięwzięcia.</w:t>
      </w:r>
    </w:p>
    <w:p w14:paraId="30D9E1AD" w14:textId="77777777" w:rsidR="00BC1522" w:rsidRPr="00987AD1" w:rsidRDefault="00BC1522" w:rsidP="00384E2D">
      <w:pPr>
        <w:tabs>
          <w:tab w:val="left" w:pos="1276"/>
        </w:tabs>
        <w:spacing w:after="0" w:line="288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7.5.2. Uwzględnienie skutków realizacji przedsięwzięcia w sporządzonych prognozach oddziaływania planów i programów na środowisko.</w:t>
      </w:r>
    </w:p>
    <w:p w14:paraId="4D5459AE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8. Plan wdrożenia i funkcjonowania projektu</w:t>
      </w:r>
    </w:p>
    <w:p w14:paraId="3801487F" w14:textId="66ED6864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8.1. Struktura wdrażania przedsięwzięcia, zestawienie i harmonogram niezbędnych działań, w tym instytucjonalnych i administracyjnych w celu wdrożenia przedsięwzięcia </w:t>
      </w:r>
    </w:p>
    <w:p w14:paraId="2446F34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8.2. Struktura i schemat organizacyjny JRP </w:t>
      </w:r>
    </w:p>
    <w:p w14:paraId="50EF94A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8.3. Proponowany zakres kontraktów, procedury kontraktowe, harmonogram ogłaszania przetargów i podpisywania kontraktów </w:t>
      </w:r>
    </w:p>
    <w:p w14:paraId="12279F4C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8.4. Harmonogram realizacji przedsięwzięcia oraz plan płatności </w:t>
      </w:r>
    </w:p>
    <w:p w14:paraId="1516D00C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8.5. Zarządzanie infrastrukturą po zakończeniu realizacji przedsięwzięcia</w:t>
      </w:r>
    </w:p>
    <w:p w14:paraId="273820FF" w14:textId="3CCAB878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8.5.1. Opis struktury organizacyjnej i własnościowej po zakończeniu realizacji przedsięwzięcia </w:t>
      </w:r>
    </w:p>
    <w:p w14:paraId="2F5698C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8.5.2. Zachowanie trwałości projektu</w:t>
      </w:r>
    </w:p>
    <w:p w14:paraId="6F4A793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9. Plan finansowania przedsięwzięcia</w:t>
      </w:r>
    </w:p>
    <w:p w14:paraId="1718FDE9" w14:textId="48139BE6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9.1. Struktura i źródła finansowania kosztów kwalifikowanych i niekwalifikowanych przedsięwzięcia z podziałem na lata realizacji inwestycji</w:t>
      </w:r>
    </w:p>
    <w:p w14:paraId="34D19FB3" w14:textId="40CA0752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9.2. Ocena zdolności beneficjenta i innych podmiotów (o ile dotyczy) do zapewnienia wkładu własnego i informacja o stanie zaawansowania pozysk</w:t>
      </w:r>
      <w:r w:rsidR="009B3A20">
        <w:rPr>
          <w:rFonts w:ascii="Open Sans Light" w:hAnsi="Open Sans Light" w:cs="Open Sans Light"/>
        </w:rPr>
        <w:t>iw</w:t>
      </w:r>
      <w:r w:rsidRPr="00987AD1">
        <w:rPr>
          <w:rFonts w:ascii="Open Sans Light" w:hAnsi="Open Sans Light" w:cs="Open Sans Light"/>
        </w:rPr>
        <w:t>ania środków zewnętrznych</w:t>
      </w:r>
    </w:p>
    <w:p w14:paraId="68E85783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9.3. Przewidywane sposoby i ocena realności ustanowienia zabezpieczeń dla zwrotnych </w:t>
      </w:r>
    </w:p>
    <w:p w14:paraId="3472335A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źródeł finansowania inwestycji (o ile dotyczy) z uwzględnieniem wyników analizy ryzyka </w:t>
      </w:r>
    </w:p>
    <w:p w14:paraId="6635090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10.</w:t>
      </w:r>
      <w:r w:rsidRPr="00987AD1">
        <w:rPr>
          <w:rFonts w:ascii="Open Sans Light" w:hAnsi="Open Sans Light" w:cs="Open Sans Light"/>
          <w:b/>
        </w:rPr>
        <w:tab/>
        <w:t>Analiza finansowa i analiza trwałości</w:t>
      </w:r>
    </w:p>
    <w:p w14:paraId="1BA88A0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10.1. Założenia makroekonomiczne, metodyka analizy finansowej i analizy trwałości </w:t>
      </w:r>
    </w:p>
    <w:p w14:paraId="2BC39CF0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10.2. Prognoza przychodów i kosztów w okresie odniesienia dla scenariusza bez     </w:t>
      </w:r>
    </w:p>
    <w:p w14:paraId="0A6862BB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projektu i scenariusza z projektem </w:t>
      </w:r>
    </w:p>
    <w:p w14:paraId="61A0549B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10.2.1. Założenia i prognozy kosztów operacyjnych (wg ich rodzajów) oraz  </w:t>
      </w:r>
    </w:p>
    <w:p w14:paraId="5EDAB2BF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pozostałych przychodów i kosztów operacyjnych</w:t>
      </w:r>
    </w:p>
    <w:p w14:paraId="07082D92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10.2.2. Prognoza przychodów, w tym strategia cenowa </w:t>
      </w:r>
    </w:p>
    <w:p w14:paraId="5FC8E7E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10.2.3. Zapotrzebowanie na kapitał obrotowy </w:t>
      </w:r>
    </w:p>
    <w:p w14:paraId="39751C53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10.2.4. Prefinansowanie wydatków związanych z projektem </w:t>
      </w:r>
    </w:p>
    <w:p w14:paraId="5CCC77B7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10.3. Założenia analizy finansowej i analizy finansowej efektywności przedsięwzięcia</w:t>
      </w:r>
    </w:p>
    <w:p w14:paraId="0C4F3ACB" w14:textId="6DE9E0A8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10.4. Obliczenie maksymalnego wkładu funduszy UE </w:t>
      </w:r>
      <w:r w:rsidR="009B3A20">
        <w:rPr>
          <w:rFonts w:ascii="Open Sans Light" w:hAnsi="Open Sans Light" w:cs="Open Sans Light"/>
        </w:rPr>
        <w:t>– o ile dotyczy</w:t>
      </w:r>
    </w:p>
    <w:p w14:paraId="568F2E3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 Analiza finansowej efektywności przedsięwzięcia</w:t>
      </w:r>
    </w:p>
    <w:p w14:paraId="4DED2E8D" w14:textId="77777777" w:rsidR="00BC1522" w:rsidRPr="00987AD1" w:rsidRDefault="00BC1522" w:rsidP="00384E2D">
      <w:pPr>
        <w:spacing w:after="0" w:line="288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10.5.1. Obliczenie zwrotu z inwestycji (FNPV/C i FIRR/C bez i z wsparciem UE)</w:t>
      </w:r>
    </w:p>
    <w:p w14:paraId="1F1FBC01" w14:textId="77777777" w:rsidR="00BC1522" w:rsidRPr="00987AD1" w:rsidRDefault="00BC1522" w:rsidP="00384E2D">
      <w:pPr>
        <w:spacing w:after="0" w:line="288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10.5.2. Obliczenie zwrotu z kapitału krajowego (FNPV/K i FIRR/K bez i z wsparciem </w:t>
      </w:r>
    </w:p>
    <w:p w14:paraId="1F7C319B" w14:textId="77777777" w:rsidR="00BC1522" w:rsidRPr="00987AD1" w:rsidRDefault="00BC1522" w:rsidP="00384E2D">
      <w:pPr>
        <w:spacing w:after="0" w:line="288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UE) – o ile dotyczy</w:t>
      </w:r>
    </w:p>
    <w:p w14:paraId="7A87C678" w14:textId="77777777" w:rsidR="00BC1522" w:rsidRPr="00987AD1" w:rsidRDefault="00BC1522" w:rsidP="00384E2D">
      <w:pPr>
        <w:spacing w:after="0" w:line="288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10.6. Prognoza sprawozdań finansowych beneficjenta i innych podmiotów (o ile dotyczy) i ich analiza wskaźnikowa</w:t>
      </w:r>
    </w:p>
    <w:p w14:paraId="45D5EE8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10.7. Ocena prognoz sprawozdań finansowych beneficjenta i innych podmiotów (o ile </w:t>
      </w:r>
    </w:p>
    <w:p w14:paraId="3B2C20C9" w14:textId="6A0DC80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dotyczy), w kontekście potwierdzenia ich </w:t>
      </w:r>
      <w:r w:rsidR="009B3A20">
        <w:rPr>
          <w:rFonts w:ascii="Open Sans Light" w:hAnsi="Open Sans Light" w:cs="Open Sans Light"/>
        </w:rPr>
        <w:t>stabilności (</w:t>
      </w:r>
      <w:r w:rsidRPr="00987AD1">
        <w:rPr>
          <w:rFonts w:ascii="Open Sans Light" w:hAnsi="Open Sans Light" w:cs="Open Sans Light"/>
        </w:rPr>
        <w:t>trwałości</w:t>
      </w:r>
      <w:r w:rsidR="009B3A20">
        <w:rPr>
          <w:rFonts w:ascii="Open Sans Light" w:hAnsi="Open Sans Light" w:cs="Open Sans Light"/>
        </w:rPr>
        <w:t>)</w:t>
      </w:r>
      <w:r w:rsidRPr="00987AD1">
        <w:rPr>
          <w:rFonts w:ascii="Open Sans Light" w:hAnsi="Open Sans Light" w:cs="Open Sans Light"/>
        </w:rPr>
        <w:t xml:space="preserve"> finansowej w fazie operacyjnej</w:t>
      </w:r>
    </w:p>
    <w:p w14:paraId="417ABD2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11.</w:t>
      </w:r>
      <w:r w:rsidRPr="00987AD1">
        <w:rPr>
          <w:rFonts w:ascii="Open Sans Light" w:hAnsi="Open Sans Light" w:cs="Open Sans Light"/>
          <w:b/>
        </w:rPr>
        <w:tab/>
        <w:t xml:space="preserve">Analiza kosztów i korzyści </w:t>
      </w:r>
    </w:p>
    <w:p w14:paraId="1CB6E2E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11.1. Metodyka analizy kosztów i korzyści (analizy ekonomicznej)</w:t>
      </w:r>
    </w:p>
    <w:p w14:paraId="2F2B5CB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11.2. Analiza kosztów związanych z realizacją przedsięwzięcia z punktu widzenia </w:t>
      </w:r>
    </w:p>
    <w:p w14:paraId="2D906CB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społeczności (jakościowa i ilościowa)</w:t>
      </w:r>
    </w:p>
    <w:p w14:paraId="18A75D9B" w14:textId="405C83F1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11.3. Analiza korzyści związanych z realizacją przedsięwzięcia z punktu widzenia społeczności (jakościowa i ilościowa), w tym skutki przedsięwzięcia dla zatrudnienia</w:t>
      </w:r>
    </w:p>
    <w:p w14:paraId="67BED4D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11.4.  Analiza ekonomiczna (o ile dotyczy)</w:t>
      </w:r>
    </w:p>
    <w:p w14:paraId="1EF7BAD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11.4.1.  Korekty przepływów pieniężnych przedsięwzięcia </w:t>
      </w:r>
    </w:p>
    <w:p w14:paraId="20C753D9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11.4.1.1. Efekty fiskalne</w:t>
      </w:r>
    </w:p>
    <w:p w14:paraId="19E876D7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11.4.1.2. Efekty zewnętrznych wynikających z kosztów i korzyści zewnętrznych  </w:t>
      </w:r>
    </w:p>
    <w:p w14:paraId="0623C2C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       zidentyfikowanych z punktu widzenia społeczności</w:t>
      </w:r>
    </w:p>
    <w:p w14:paraId="24F39692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11.4.1.3. Przekształcenie cen rynkowych w ceny rozrachunkowe</w:t>
      </w:r>
    </w:p>
    <w:p w14:paraId="2FE42FD0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11.4.1.4. Inne korekty</w:t>
      </w:r>
    </w:p>
    <w:p w14:paraId="600B110F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11.4.2. Obliczenie ekonomicznej wartości bieżącej netto (ENPV) i ekonomicznej </w:t>
      </w:r>
    </w:p>
    <w:p w14:paraId="239A45C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</w:rPr>
        <w:t xml:space="preserve">                         wewnętrznej stopy zwrotu (ERR)</w:t>
      </w:r>
    </w:p>
    <w:p w14:paraId="7073377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12.       Analiza spełniania zasady „nie czyń poważnej szkody” (DNSH)</w:t>
      </w:r>
    </w:p>
    <w:p w14:paraId="0F2379BE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13.</w:t>
      </w:r>
      <w:r w:rsidRPr="00987AD1">
        <w:rPr>
          <w:rFonts w:ascii="Open Sans Light" w:hAnsi="Open Sans Light" w:cs="Open Sans Light"/>
          <w:b/>
        </w:rPr>
        <w:tab/>
        <w:t xml:space="preserve">Analiza ryzyka i wrażliwości  </w:t>
      </w:r>
    </w:p>
    <w:p w14:paraId="5F0239C6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13.1. Analiza wrażliwości </w:t>
      </w:r>
    </w:p>
    <w:p w14:paraId="736F5344" w14:textId="383E9895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12.1.1. Badane zmienne i ich wpływ na wskaźniki finansowej  i ekonomicznej (o ile dotyczy) efektywności przedsięwzięcia oraz jego trwałość finansową </w:t>
      </w:r>
    </w:p>
    <w:p w14:paraId="10DA5EF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12.1.2. Zestawienie zmiennych zidentyfikowanych jako krytyczne </w:t>
      </w:r>
    </w:p>
    <w:p w14:paraId="247964E0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12.1.3. Wartości progowe dla zmiennych krytycznych </w:t>
      </w:r>
    </w:p>
    <w:p w14:paraId="601F9B9F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13.2. Jakościowa analiza ryzyka </w:t>
      </w:r>
    </w:p>
    <w:p w14:paraId="37A21015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13.2.1. Lista zidentyfikowanych czynników ryzyka  </w:t>
      </w:r>
    </w:p>
    <w:p w14:paraId="5F4FCFFE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13.2.2. Matryca ryzyka (przyczyny wystąpienia ryzyka, ew. związek z analizą </w:t>
      </w:r>
    </w:p>
    <w:p w14:paraId="13EB1F5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wrażliwości, skutki i prawdopodobieństwo wystąpienia, poziom ryzyka, </w:t>
      </w:r>
    </w:p>
    <w:p w14:paraId="3E1EEF54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mitygacja ryzyka, ryzyka rezydualne) </w:t>
      </w:r>
    </w:p>
    <w:p w14:paraId="43D03A5D" w14:textId="77777777" w:rsidR="00BC1522" w:rsidRPr="00987AD1" w:rsidRDefault="00BC1522" w:rsidP="00384E2D">
      <w:pPr>
        <w:spacing w:after="0" w:line="288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13.2.3. Interpretacja matrycy ryzyka</w:t>
      </w:r>
    </w:p>
    <w:p w14:paraId="73535B7F" w14:textId="77777777" w:rsidR="00DF359B" w:rsidRPr="007E1F1C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C37AEAB" w14:textId="0694D73B" w:rsidR="007E1F1C" w:rsidRPr="00AB7F2A" w:rsidRDefault="007E1F1C" w:rsidP="00AB7F2A">
      <w:pPr>
        <w:spacing w:before="6360"/>
        <w:rPr>
          <w:rFonts w:ascii="Open Sans Light" w:eastAsia="Calibri" w:hAnsi="Open Sans Light" w:cs="Open Sans Light"/>
          <w:b/>
          <w:bCs/>
          <w:sz w:val="28"/>
          <w:szCs w:val="28"/>
        </w:rPr>
      </w:pPr>
      <w:r w:rsidRPr="00AB7F2A">
        <w:rPr>
          <w:rFonts w:ascii="Open Sans Light" w:eastAsia="Calibri" w:hAnsi="Open Sans Light" w:cs="Open Sans Light"/>
          <w:b/>
          <w:bCs/>
          <w:sz w:val="28"/>
          <w:szCs w:val="28"/>
        </w:rPr>
        <w:br w:type="page"/>
      </w:r>
    </w:p>
    <w:p w14:paraId="64ECE431" w14:textId="1FB34A57" w:rsidR="00A06325" w:rsidRPr="00987AD1" w:rsidRDefault="00A06325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4B05B2F4" wp14:editId="24E0A52F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53E079" w14:textId="055A2818" w:rsidR="00546587" w:rsidRPr="00AB7F2A" w:rsidRDefault="00A06325" w:rsidP="00AB7F2A">
      <w:pPr>
        <w:spacing w:before="240" w:after="360"/>
        <w:jc w:val="center"/>
      </w:pPr>
      <w:r w:rsidRPr="00AB7F2A">
        <w:rPr>
          <w:rFonts w:ascii="Open Sans Light" w:eastAsia="Calibri" w:hAnsi="Open Sans Light" w:cs="Open Sans Light"/>
          <w:color w:val="2F5496" w:themeColor="accent1" w:themeShade="BF"/>
          <w:sz w:val="36"/>
          <w:szCs w:val="36"/>
        </w:rPr>
        <w:t>Założenia do analiz finansowych</w:t>
      </w:r>
    </w:p>
    <w:p w14:paraId="790B9765" w14:textId="099CB72C" w:rsidR="000448AF" w:rsidRPr="007E1F1C" w:rsidRDefault="000448AF" w:rsidP="007E1F1C">
      <w:pPr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Działanie FENX.01.0</w:t>
      </w:r>
      <w:r w:rsidR="00BC1522">
        <w:rPr>
          <w:rFonts w:ascii="Open Sans Light" w:hAnsi="Open Sans Light" w:cs="Open Sans Light"/>
          <w:b/>
          <w:bCs/>
          <w:sz w:val="24"/>
          <w:szCs w:val="24"/>
        </w:rPr>
        <w:t>4</w:t>
      </w: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. </w:t>
      </w:r>
      <w:r w:rsidR="00BC1522" w:rsidRPr="00BC1522">
        <w:rPr>
          <w:rFonts w:ascii="Open Sans Light" w:hAnsi="Open Sans Light" w:cs="Open Sans Light"/>
          <w:b/>
          <w:bCs/>
          <w:sz w:val="24"/>
          <w:szCs w:val="24"/>
        </w:rPr>
        <w:t>Gospodarka odpadami oraz gospodarka o obiegu zamkniętym</w:t>
      </w:r>
    </w:p>
    <w:p w14:paraId="12D73B2C" w14:textId="77777777" w:rsidR="00BC1522" w:rsidRPr="00B3472B" w:rsidRDefault="00BC1522" w:rsidP="00BC1522">
      <w:pPr>
        <w:jc w:val="center"/>
        <w:rPr>
          <w:rFonts w:ascii="Open Sans Light" w:hAnsi="Open Sans Light" w:cs="Open Sans Light"/>
        </w:rPr>
      </w:pPr>
      <w:r w:rsidRPr="00B3472B">
        <w:rPr>
          <w:rFonts w:ascii="Open Sans Light" w:hAnsi="Open Sans Light" w:cs="Open Sans Light"/>
        </w:rPr>
        <w:t>(nie dotyczy typu projektu: działania edukacyjno-informacyjne społeczeństwa w szczególności w obszarze zapobiegania powstawaniu odpadów oraz prowadzenia działań w gospodarce odpadami zgodnie z hierarchią sposobów postępowania z odpadami oraz w zakresie gospodarki o obiegu zamkniętym)</w:t>
      </w:r>
    </w:p>
    <w:p w14:paraId="50532AD1" w14:textId="51E810F6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i/>
          <w:iCs/>
          <w:sz w:val="24"/>
          <w:szCs w:val="24"/>
          <w:u w:val="single"/>
        </w:rPr>
      </w:pPr>
      <w:r w:rsidRPr="007E1F1C">
        <w:rPr>
          <w:rFonts w:ascii="Open Sans Light" w:eastAsia="Calibri" w:hAnsi="Open Sans Light" w:cs="Open Sans Light"/>
          <w:i/>
          <w:iCs/>
          <w:sz w:val="24"/>
          <w:szCs w:val="24"/>
          <w:u w:val="single"/>
        </w:rPr>
        <w:t>Uwaga:</w:t>
      </w:r>
    </w:p>
    <w:p w14:paraId="219E7DF4" w14:textId="64955C42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i/>
          <w:iCs/>
          <w:sz w:val="24"/>
          <w:szCs w:val="24"/>
        </w:rPr>
      </w:pP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76E7C825" w14:textId="13103A8C" w:rsidR="00051C99" w:rsidRPr="007E1F1C" w:rsidRDefault="00051C99" w:rsidP="00DA0234">
      <w:pPr>
        <w:pStyle w:val="Akapitzlist"/>
        <w:numPr>
          <w:ilvl w:val="0"/>
          <w:numId w:val="59"/>
        </w:numPr>
        <w:spacing w:before="360" w:after="0" w:line="276" w:lineRule="auto"/>
        <w:ind w:left="357" w:hanging="357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Okres odniesienia.</w:t>
      </w:r>
    </w:p>
    <w:p w14:paraId="34F62C3A" w14:textId="30154544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długość okresu odniesienia zgodnie z okresami odniesienia tożsamymi dla analizy finansowej i analizy ekonomicznej zdefiniowanymi dla poprzedniej perspektywy finansowej UE i stosowanymi w ramach programu PO IiŚ 2014-2020</w:t>
      </w:r>
      <w:r w:rsidRPr="007E1F1C">
        <w:rPr>
          <w:rFonts w:ascii="Open Sans Light" w:eastAsia="Calibri" w:hAnsi="Open Sans Light" w:cs="Open Sans Light"/>
          <w:sz w:val="24"/>
          <w:szCs w:val="24"/>
        </w:rPr>
        <w:br/>
        <w:t>(zgodnie z Załącznikiem I do rozporządzenia nr KE 480/2014), tj.:</w:t>
      </w:r>
    </w:p>
    <w:p w14:paraId="630B7F6A" w14:textId="4D94F5AF" w:rsidR="00051C99" w:rsidRPr="007E1F1C" w:rsidRDefault="00051C99" w:rsidP="00DA0234">
      <w:pPr>
        <w:numPr>
          <w:ilvl w:val="0"/>
          <w:numId w:val="40"/>
        </w:num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Gospodarowanie odpadami: 25 lat.</w:t>
      </w:r>
    </w:p>
    <w:p w14:paraId="3DD121C0" w14:textId="101B5AB5" w:rsidR="00051C99" w:rsidRPr="007E1F1C" w:rsidRDefault="00051C99" w:rsidP="00DA0234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Wartość rezydualna.</w:t>
      </w:r>
    </w:p>
    <w:p w14:paraId="1B0891E0" w14:textId="5D948812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metodę obliczenia wartości rezydualnej w oparciu o wycenę wartości aktywów trwałych netto, określoną przy wykorzystaniu metody i okresu amortyzacji zgodnych z polityką rachunkowości beneficjenta/operatora.</w:t>
      </w:r>
    </w:p>
    <w:p w14:paraId="1986D412" w14:textId="3E43F504" w:rsidR="00051C99" w:rsidRPr="007E1F1C" w:rsidRDefault="00051C99" w:rsidP="00DA0234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Ceny stałe/bieżące (zmienne).</w:t>
      </w:r>
    </w:p>
    <w:p w14:paraId="6482758D" w14:textId="626D645D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Zgodnie z dokumentem: 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„Wytyczne dotyczące zagadnień związanych z przygotowaniem projektów inwestycyjnych, w tym hybrydowych na lata 2021-2027”</w:t>
      </w:r>
      <w:r w:rsidRPr="007E1F1C">
        <w:rPr>
          <w:rFonts w:ascii="Open Sans Light" w:eastAsia="Calibri" w:hAnsi="Open Sans Light" w:cs="Open Sans Light"/>
          <w:sz w:val="24"/>
          <w:szCs w:val="24"/>
        </w:rPr>
        <w:t>, Roz. 6 Analiza finansowa, Podrozdział 6.4, analiza finansowa może być sporządzona:</w:t>
      </w:r>
    </w:p>
    <w:p w14:paraId="7BE49935" w14:textId="15DA6460" w:rsidR="00051C99" w:rsidRPr="007E1F1C" w:rsidRDefault="00051C99" w:rsidP="00DA0234">
      <w:pPr>
        <w:numPr>
          <w:ilvl w:val="0"/>
          <w:numId w:val="38"/>
        </w:num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 cenach stałych lub</w:t>
      </w:r>
    </w:p>
    <w:p w14:paraId="0BD6712E" w14:textId="42D2B643" w:rsidR="00051C99" w:rsidRPr="007E1F1C" w:rsidRDefault="00051C99" w:rsidP="00DA0234">
      <w:pPr>
        <w:numPr>
          <w:ilvl w:val="0"/>
          <w:numId w:val="38"/>
        </w:num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 cenach bieżących, przy czym, o ile to możliwe i uzasadnione, powinna być przeprowadzona w cenach stałych.</w:t>
      </w:r>
    </w:p>
    <w:p w14:paraId="3CC0ACFB" w14:textId="27CC8A40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Ceny stałe/bieżące determinują stosowanie określonych stawek dyskontowych:</w:t>
      </w:r>
    </w:p>
    <w:p w14:paraId="46B8E6A9" w14:textId="7B6F8DF1" w:rsidR="00051C99" w:rsidRPr="007E1F1C" w:rsidRDefault="00051C99" w:rsidP="00DA0234">
      <w:pPr>
        <w:numPr>
          <w:ilvl w:val="0"/>
          <w:numId w:val="37"/>
        </w:num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4 % do analizy finansowej prowadzonej w cenach stałych, </w:t>
      </w:r>
    </w:p>
    <w:p w14:paraId="3E75B431" w14:textId="3EF27C61" w:rsidR="00051C99" w:rsidRPr="007E1F1C" w:rsidRDefault="00051C99" w:rsidP="00DA0234">
      <w:pPr>
        <w:numPr>
          <w:ilvl w:val="0"/>
          <w:numId w:val="37"/>
        </w:num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lastRenderedPageBreak/>
        <w:t xml:space="preserve">9 % dla analizy finansowej prowadzonej w cenach bieżących. </w:t>
      </w:r>
    </w:p>
    <w:p w14:paraId="5A0A2E51" w14:textId="77777777" w:rsidR="00BC1522" w:rsidRPr="00987AD1" w:rsidRDefault="00BC1522" w:rsidP="00DA0234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możliwość dokonywania wyboru przez wnioskodawcę stosowania cen stałych lub zmiennych, ale z zaleceniem, że:</w:t>
      </w:r>
    </w:p>
    <w:p w14:paraId="539FC94B" w14:textId="77777777" w:rsidR="00BC1522" w:rsidRPr="00987AD1" w:rsidRDefault="00BC1522" w:rsidP="00DA0234">
      <w:pPr>
        <w:numPr>
          <w:ilvl w:val="1"/>
          <w:numId w:val="68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33FA235B" w14:textId="77777777" w:rsidR="00BC1522" w:rsidRPr="00987AD1" w:rsidRDefault="00BC1522" w:rsidP="00DA0234">
      <w:pPr>
        <w:numPr>
          <w:ilvl w:val="1"/>
          <w:numId w:val="68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0F15CA6D" w14:textId="166197E7" w:rsidR="00051C99" w:rsidRPr="007E1F1C" w:rsidRDefault="00051C99" w:rsidP="00DA0234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Rezerwa na nieprzewidziane wydatki.</w:t>
      </w:r>
    </w:p>
    <w:p w14:paraId="52036275" w14:textId="48533D09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Wnioskodawca ma możliwość uwzględniania rezerwy na nieprzewidziane wydatki (tzw. rezerwa inwestycyjna), ale z zastrzeżeniem, że maksymalna jej wartość nie może przekraczać 15% całkowitych nakładów inwestycyjnych oraz z zastrzeżeniem, że do wnioskowanego projektu załączona zostanie szczegółowa analiza ryzyka, uzasadniająca utworzenie rezerwy. </w:t>
      </w:r>
    </w:p>
    <w:p w14:paraId="66E4F872" w14:textId="75A89DAD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strike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Całkowity koszt projektu/inwestycji obejmuje wydatki kwalifikowalne i niekwalifikowalne, o których mowa w dokumencie „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Wytyczne dotyczące zagadnień związanych z przygotowaniem projektów inwestycyjnych, w tym hybrydowych na lata 2021-2027</w:t>
      </w:r>
      <w:r w:rsidRPr="007E1F1C">
        <w:rPr>
          <w:rFonts w:ascii="Open Sans Light" w:eastAsia="Calibri" w:hAnsi="Open Sans Light" w:cs="Open Sans Light"/>
          <w:sz w:val="24"/>
          <w:szCs w:val="24"/>
        </w:rPr>
        <w:t>”.</w:t>
      </w:r>
    </w:p>
    <w:p w14:paraId="791C145D" w14:textId="3C37CA4D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Rezerwy na nieprzewidziane wydatki nie uwzględnia się dla potrzeb kalkulacji wskaźników efektywności finansowej i ekonomicznej oraz trwałości finansowej projektu z uwagi na fakt, iż rezerwy nie stanowią przepływu środków pieniężnych. W związku z tym, wartość rezerw na nieprzewidziane wydatki należy prezentować oddzielnie od nakładów inwestycyjnych na realizację projektu.</w:t>
      </w:r>
    </w:p>
    <w:p w14:paraId="454623A7" w14:textId="41221D4B" w:rsidR="00051C99" w:rsidRPr="007E1F1C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Rezerwy na nieprzewidziane wydatki nie stanowią kosztów operacyjnych. Ponadto niepieniężne pozycje rachunkowe, takie jak rezerwy na nieprzewidziane wydatki, nie mogą być przedmiotem analizy finansowej. </w:t>
      </w:r>
    </w:p>
    <w:p w14:paraId="6124DB39" w14:textId="59B2B2D9" w:rsidR="00051C99" w:rsidRPr="007E1F1C" w:rsidRDefault="00051C99" w:rsidP="00DA0234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rPr>
          <w:rFonts w:ascii="Open Sans Light" w:eastAsia="Calibri" w:hAnsi="Open Sans Light" w:cs="Open Sans Light"/>
          <w:b/>
          <w:bCs/>
          <w:sz w:val="24"/>
          <w:szCs w:val="24"/>
        </w:rPr>
      </w:pPr>
      <w:bookmarkStart w:id="1" w:name="_Hlk152334655"/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Dostępność cenowa.</w:t>
      </w:r>
    </w:p>
    <w:bookmarkEnd w:id="1"/>
    <w:p w14:paraId="74E282B9" w14:textId="77777777" w:rsidR="00BC1522" w:rsidRPr="00E64C7D" w:rsidRDefault="00BC1522" w:rsidP="00DA0234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W ramach </w:t>
      </w:r>
      <w:r w:rsidRPr="00987AD1">
        <w:rPr>
          <w:rFonts w:ascii="Open Sans Light" w:eastAsia="Calibri" w:hAnsi="Open Sans Light" w:cs="Open Sans Light"/>
        </w:rPr>
        <w:t>działania FENX.01.04.</w:t>
      </w:r>
      <w:r>
        <w:rPr>
          <w:rFonts w:ascii="Open Sans Light" w:eastAsia="Calibri" w:hAnsi="Open Sans Light" w:cs="Open Sans Light"/>
        </w:rPr>
        <w:t xml:space="preserve"> </w:t>
      </w:r>
      <w:r w:rsidRPr="00E64C7D">
        <w:rPr>
          <w:rFonts w:ascii="Open Sans Light" w:eastAsia="Calibri" w:hAnsi="Open Sans Light" w:cs="Open Sans Light"/>
        </w:rPr>
        <w:t>Gospodarka odpadami oraz gospodarka o obiegu zamkniętym,</w:t>
      </w:r>
      <w:r>
        <w:rPr>
          <w:rFonts w:ascii="Open Sans Light" w:eastAsia="Calibri" w:hAnsi="Open Sans Light" w:cs="Open Sans Light"/>
        </w:rPr>
        <w:t xml:space="preserve"> dla następujących typów projektów:</w:t>
      </w:r>
      <w:r w:rsidRPr="00E64C7D">
        <w:rPr>
          <w:rFonts w:ascii="Open Sans Light" w:eastAsia="Calibri" w:hAnsi="Open Sans Light" w:cs="Open Sans Light"/>
        </w:rPr>
        <w:t xml:space="preserve"> </w:t>
      </w:r>
    </w:p>
    <w:p w14:paraId="30BDEACB" w14:textId="77777777" w:rsidR="00BC1522" w:rsidRDefault="00BC1522" w:rsidP="00DA0234">
      <w:pPr>
        <w:pStyle w:val="Akapitzlist"/>
        <w:numPr>
          <w:ilvl w:val="0"/>
          <w:numId w:val="41"/>
        </w:numPr>
        <w:spacing w:after="0" w:line="276" w:lineRule="auto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Systemy selektywnego zbierania odpadów komunalnych uwzględniające rozwiązania dotyczące zapobiegania powstawaniu odpadów, w tym ponowne użycie</w:t>
      </w:r>
      <w:r>
        <w:rPr>
          <w:rFonts w:ascii="Open Sans Light" w:eastAsia="Calibri" w:hAnsi="Open Sans Light" w:cs="Open Sans Light"/>
        </w:rPr>
        <w:t xml:space="preserve">; </w:t>
      </w:r>
    </w:p>
    <w:p w14:paraId="00E543B1" w14:textId="77777777" w:rsidR="00BC1522" w:rsidRDefault="00BC1522" w:rsidP="00DA0234">
      <w:pPr>
        <w:pStyle w:val="Akapitzlist"/>
        <w:numPr>
          <w:ilvl w:val="0"/>
          <w:numId w:val="41"/>
        </w:numPr>
        <w:spacing w:after="0" w:line="276" w:lineRule="auto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Rozwijanie recyklingu odpadów</w:t>
      </w:r>
      <w:r>
        <w:rPr>
          <w:rFonts w:ascii="Open Sans Light" w:eastAsia="Calibri" w:hAnsi="Open Sans Light" w:cs="Open Sans Light"/>
        </w:rPr>
        <w:t xml:space="preserve">; </w:t>
      </w:r>
    </w:p>
    <w:p w14:paraId="76629DE3" w14:textId="77777777" w:rsidR="00BC1522" w:rsidRDefault="00BC1522" w:rsidP="00DA0234">
      <w:pPr>
        <w:pStyle w:val="Akapitzlist"/>
        <w:numPr>
          <w:ilvl w:val="0"/>
          <w:numId w:val="41"/>
        </w:numPr>
        <w:spacing w:after="0" w:line="276" w:lineRule="auto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>Optymalizacja gospodarki surowcami i odpadami w przedsiębiorstwach w celu realizacji założeń GOZ</w:t>
      </w:r>
      <w:r>
        <w:rPr>
          <w:rFonts w:ascii="Open Sans Light" w:eastAsia="Calibri" w:hAnsi="Open Sans Light" w:cs="Open Sans Light"/>
        </w:rPr>
        <w:t xml:space="preserve">; </w:t>
      </w:r>
    </w:p>
    <w:p w14:paraId="404FFD56" w14:textId="77777777" w:rsidR="00BC1522" w:rsidRDefault="00BC1522" w:rsidP="00DA0234">
      <w:pPr>
        <w:pStyle w:val="Akapitzlist"/>
        <w:numPr>
          <w:ilvl w:val="0"/>
          <w:numId w:val="41"/>
        </w:numPr>
        <w:spacing w:after="0" w:line="276" w:lineRule="auto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lastRenderedPageBreak/>
        <w:t>Zapobieganie powstawaniu odpadów żywności poprzez wykorzystanie niesprzedanych produktów spożywczych lub produktów spożywczych o krótkim terminie przydatności do spożycia</w:t>
      </w:r>
      <w:r>
        <w:rPr>
          <w:rFonts w:ascii="Open Sans Light" w:eastAsia="Calibri" w:hAnsi="Open Sans Light" w:cs="Open Sans Light"/>
        </w:rPr>
        <w:t xml:space="preserve">; </w:t>
      </w:r>
    </w:p>
    <w:p w14:paraId="57B69299" w14:textId="77777777" w:rsidR="00BC1522" w:rsidRDefault="00BC1522" w:rsidP="00DA0234">
      <w:pPr>
        <w:spacing w:after="0" w:line="276" w:lineRule="auto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 xml:space="preserve">nie stosuje się dostępności cenowej. </w:t>
      </w:r>
    </w:p>
    <w:p w14:paraId="1222E6EE" w14:textId="77777777" w:rsidR="00BC1522" w:rsidRDefault="00BC1522" w:rsidP="00DA0234">
      <w:pPr>
        <w:spacing w:after="0" w:line="276" w:lineRule="auto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Natomiast, dla </w:t>
      </w:r>
      <w:r w:rsidRPr="00D45604">
        <w:rPr>
          <w:rFonts w:ascii="Open Sans Light" w:eastAsia="Calibri" w:hAnsi="Open Sans Light" w:cs="Open Sans Light"/>
        </w:rPr>
        <w:t>działania FENX.01.04. Gospodarka odpadami oraz gospodarka o obiegu zamkniętym</w:t>
      </w:r>
      <w:r>
        <w:rPr>
          <w:rFonts w:ascii="Open Sans Light" w:eastAsia="Calibri" w:hAnsi="Open Sans Light" w:cs="Open Sans Light"/>
        </w:rPr>
        <w:t>, dla typu projektu:</w:t>
      </w:r>
    </w:p>
    <w:p w14:paraId="6001E8CA" w14:textId="77777777" w:rsidR="00BC1522" w:rsidRPr="00E64C7D" w:rsidRDefault="00BC1522" w:rsidP="00DA0234">
      <w:pPr>
        <w:pStyle w:val="Akapitzlist"/>
        <w:numPr>
          <w:ilvl w:val="0"/>
          <w:numId w:val="42"/>
        </w:numPr>
        <w:spacing w:after="0" w:line="276" w:lineRule="auto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Instalacje do przetwarzania odpadów komunalnych zgodnie z hierarchią sposobów postępowania z odpadami </w:t>
      </w:r>
    </w:p>
    <w:p w14:paraId="444C6D4B" w14:textId="77777777" w:rsidR="00BC1522" w:rsidRDefault="00BC1522" w:rsidP="00DA0234">
      <w:pPr>
        <w:spacing w:after="0" w:line="276" w:lineRule="auto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należy przyjąć do stosowania regulacje dotyczące dostępności cenowej, zgodnie z zapisami następujących dokumentów:</w:t>
      </w:r>
    </w:p>
    <w:p w14:paraId="43099CE7" w14:textId="77777777" w:rsidR="00BC1522" w:rsidRDefault="00BC1522" w:rsidP="00DA0234">
      <w:pPr>
        <w:pStyle w:val="Akapitzlist"/>
        <w:numPr>
          <w:ilvl w:val="0"/>
          <w:numId w:val="42"/>
        </w:numPr>
        <w:spacing w:after="0" w:line="276" w:lineRule="auto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„</w:t>
      </w:r>
      <w:r w:rsidRPr="00E64C7D">
        <w:rPr>
          <w:rFonts w:ascii="Open Sans Light" w:eastAsia="Calibri" w:hAnsi="Open Sans Light" w:cs="Open Sans Light"/>
        </w:rPr>
        <w:t>Wytyczne dotyczące zagadnień związanych z przygotowaniem projektów inwestycyjnych, w tym hybrydowych na lata 2021-2027</w:t>
      </w:r>
      <w:r>
        <w:rPr>
          <w:rFonts w:ascii="Open Sans Light" w:eastAsia="Calibri" w:hAnsi="Open Sans Light" w:cs="Open Sans Light"/>
        </w:rPr>
        <w:t xml:space="preserve">”; </w:t>
      </w:r>
    </w:p>
    <w:p w14:paraId="62D52EC5" w14:textId="77777777" w:rsidR="00BC1522" w:rsidRDefault="00BC1522" w:rsidP="00DA0234">
      <w:pPr>
        <w:pStyle w:val="Akapitzlist"/>
        <w:numPr>
          <w:ilvl w:val="0"/>
          <w:numId w:val="42"/>
        </w:numPr>
        <w:spacing w:after="0" w:line="276" w:lineRule="auto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„Metodyka zastosowania kryterium dostępności cenowej w projektach inwestycyjnych z dofinansowaniem UE” </w:t>
      </w:r>
      <w:r>
        <w:rPr>
          <w:rFonts w:ascii="Open Sans Light" w:eastAsia="Calibri" w:hAnsi="Open Sans Light" w:cs="Open Sans Light"/>
        </w:rPr>
        <w:t xml:space="preserve">- </w:t>
      </w:r>
      <w:r w:rsidRPr="00E64C7D">
        <w:rPr>
          <w:rFonts w:ascii="Open Sans Light" w:eastAsia="Calibri" w:hAnsi="Open Sans Light" w:cs="Open Sans Light"/>
        </w:rPr>
        <w:t xml:space="preserve">dostępny pod linkiem: </w:t>
      </w:r>
    </w:p>
    <w:p w14:paraId="27702824" w14:textId="77777777" w:rsidR="00BC1522" w:rsidRDefault="00BC1522" w:rsidP="00DA0234">
      <w:pPr>
        <w:pStyle w:val="Akapitzlist"/>
        <w:spacing w:after="0" w:line="276" w:lineRule="auto"/>
        <w:rPr>
          <w:rFonts w:ascii="Open Sans Light" w:eastAsia="Calibri" w:hAnsi="Open Sans Light" w:cs="Open Sans Light"/>
        </w:rPr>
      </w:pPr>
      <w:r w:rsidRPr="00D45604">
        <w:rPr>
          <w:rFonts w:ascii="Open Sans Light" w:eastAsia="Calibri" w:hAnsi="Open Sans Light" w:cs="Open Sans Light"/>
        </w:rPr>
        <w:t>(</w:t>
      </w:r>
      <w:hyperlink r:id="rId9" w:history="1">
        <w:r w:rsidRPr="006A552A">
          <w:rPr>
            <w:rStyle w:val="Hipercze"/>
            <w:rFonts w:ascii="Open Sans Light" w:eastAsia="Calibri" w:hAnsi="Open Sans Light" w:cs="Open Sans Light"/>
          </w:rPr>
          <w:t>https://www.funduszeeuropejskie.gov.pl/media/119589/Metodyka-zastosowania-kryterium-dostepnosci-cenowej-w-projektach-inwestycyjnych-z-dofinansowaniem-UE-2.pdf</w:t>
        </w:r>
      </w:hyperlink>
      <w:r w:rsidRPr="00D45604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t>.</w:t>
      </w:r>
    </w:p>
    <w:p w14:paraId="14C0A820" w14:textId="77777777" w:rsidR="00BC1522" w:rsidRPr="00E64C7D" w:rsidRDefault="00BC1522" w:rsidP="00DA0234">
      <w:pPr>
        <w:spacing w:after="0" w:line="276" w:lineRule="auto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Oprócz standardowego </w:t>
      </w:r>
      <w:r w:rsidRPr="00DD62B3">
        <w:rPr>
          <w:rFonts w:ascii="Open Sans Light" w:eastAsia="Calibri" w:hAnsi="Open Sans Light" w:cs="Open Sans Light"/>
        </w:rPr>
        <w:t xml:space="preserve">zastosowania kryterium dostępności cenowej (ang. </w:t>
      </w:r>
      <w:r w:rsidRPr="00E64C7D">
        <w:rPr>
          <w:rFonts w:ascii="Open Sans Light" w:eastAsia="Calibri" w:hAnsi="Open Sans Light" w:cs="Open Sans Light"/>
          <w:i/>
          <w:iCs/>
        </w:rPr>
        <w:t>affordability</w:t>
      </w:r>
      <w:r w:rsidRPr="00DD62B3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br/>
      </w:r>
      <w:r w:rsidRPr="00DD62B3">
        <w:rPr>
          <w:rFonts w:ascii="Open Sans Light" w:eastAsia="Calibri" w:hAnsi="Open Sans Light" w:cs="Open Sans Light"/>
        </w:rPr>
        <w:t>w trakcie kalkulacji poziomu opłaty dla odbiorców za usługi związane z</w:t>
      </w:r>
      <w:r>
        <w:rPr>
          <w:rFonts w:ascii="Open Sans Light" w:eastAsia="Calibri" w:hAnsi="Open Sans Light" w:cs="Open Sans Light"/>
        </w:rPr>
        <w:t xml:space="preserve"> </w:t>
      </w:r>
      <w:r w:rsidRPr="00DD62B3">
        <w:rPr>
          <w:rFonts w:ascii="Open Sans Light" w:eastAsia="Calibri" w:hAnsi="Open Sans Light" w:cs="Open Sans Light"/>
        </w:rPr>
        <w:t>gospodarowanie</w:t>
      </w:r>
      <w:r>
        <w:rPr>
          <w:rFonts w:ascii="Open Sans Light" w:eastAsia="Calibri" w:hAnsi="Open Sans Light" w:cs="Open Sans Light"/>
        </w:rPr>
        <w:t xml:space="preserve">m </w:t>
      </w:r>
      <w:r w:rsidRPr="00DD62B3">
        <w:rPr>
          <w:rFonts w:ascii="Open Sans Light" w:eastAsia="Calibri" w:hAnsi="Open Sans Light" w:cs="Open Sans Light"/>
        </w:rPr>
        <w:t>odpadami komunalnymi na potrzeby analizy finansowej</w:t>
      </w:r>
      <w:r>
        <w:rPr>
          <w:rFonts w:ascii="Open Sans Light" w:eastAsia="Calibri" w:hAnsi="Open Sans Light" w:cs="Open Sans Light"/>
        </w:rPr>
        <w:t xml:space="preserve">, zaleca się wykorzystanie dostępności cenowej również w analizie trwałości projektu oraz w analizie ryzyka. </w:t>
      </w:r>
    </w:p>
    <w:p w14:paraId="6FD89429" w14:textId="55E63BD9" w:rsidR="00051C99" w:rsidRPr="007E1F1C" w:rsidRDefault="00051C99" w:rsidP="00DA0234">
      <w:pPr>
        <w:pStyle w:val="Akapitzlist"/>
        <w:numPr>
          <w:ilvl w:val="0"/>
          <w:numId w:val="59"/>
        </w:numPr>
        <w:spacing w:before="240" w:after="0" w:line="276" w:lineRule="auto"/>
        <w:ind w:left="357" w:hanging="357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Analiza efektywności kosztowej DGC</w:t>
      </w:r>
    </w:p>
    <w:p w14:paraId="62B8CA13" w14:textId="35D2B1D7" w:rsidR="00051C99" w:rsidRDefault="00051C99" w:rsidP="00DA0234">
      <w:p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do jednolitego stosowania regulacje dotyczące przeprowadzania analiz efektywności kosztowej zgodnie z dokumentem „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Metodyka analizy efektywności kosztowej w oparciu o wskaźnik dynamicznego kosztu jednostkowego (Dynamic Generation Cost)</w:t>
      </w:r>
      <w:r w:rsidRPr="007E1F1C">
        <w:rPr>
          <w:rFonts w:ascii="Open Sans Light" w:eastAsia="Calibri" w:hAnsi="Open Sans Light" w:cs="Open Sans Light"/>
          <w:sz w:val="24"/>
          <w:szCs w:val="24"/>
        </w:rPr>
        <w:t>”.</w:t>
      </w:r>
    </w:p>
    <w:p w14:paraId="7E0F50AF" w14:textId="77777777" w:rsidR="00BC1522" w:rsidRPr="007E1F1C" w:rsidRDefault="00BC1522" w:rsidP="00DA0234">
      <w:pPr>
        <w:spacing w:after="0" w:line="276" w:lineRule="auto"/>
        <w:contextualSpacing/>
        <w:rPr>
          <w:rFonts w:ascii="Open Sans Light" w:eastAsia="Calibri" w:hAnsi="Open Sans Light" w:cs="Open Sans Light"/>
          <w:sz w:val="24"/>
          <w:szCs w:val="24"/>
        </w:rPr>
      </w:pPr>
    </w:p>
    <w:p w14:paraId="5D2FBAFC" w14:textId="4EEDF5F9" w:rsidR="00BC1522" w:rsidRPr="00987AD1" w:rsidRDefault="00BC1522" w:rsidP="00DA0234">
      <w:pPr>
        <w:spacing w:after="0" w:line="276" w:lineRule="auto"/>
        <w:contextualSpacing/>
        <w:rPr>
          <w:rFonts w:ascii="Open Sans Light" w:eastAsia="Calibri" w:hAnsi="Open Sans Light" w:cs="Open Sans Light"/>
          <w:b/>
          <w:bCs/>
        </w:rPr>
      </w:pPr>
      <w:r>
        <w:rPr>
          <w:rFonts w:ascii="Open Sans Light" w:eastAsia="Calibri" w:hAnsi="Open Sans Light" w:cs="Open Sans Light"/>
          <w:b/>
          <w:bCs/>
        </w:rPr>
        <w:t>7.</w:t>
      </w:r>
      <w:r w:rsidRPr="00987AD1">
        <w:rPr>
          <w:rFonts w:ascii="Open Sans Light" w:eastAsia="Calibri" w:hAnsi="Open Sans Light" w:cs="Open Sans Light"/>
          <w:b/>
          <w:bCs/>
        </w:rPr>
        <w:t xml:space="preserve"> Uproszczenia w zależności od wartości kosztów całkowitych projektu.</w:t>
      </w:r>
    </w:p>
    <w:p w14:paraId="0B254AD0" w14:textId="77777777" w:rsidR="00BC1522" w:rsidRPr="00987AD1" w:rsidRDefault="00BC1522" w:rsidP="00DA0234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do jednolitego stosowania regulacje, że uproszczenia dotyczą projektów o wartości do 50 mln zł kosztów całkowitych projektu, stanowiących sumę wydatków kwalifikowanych i niekwalifikowanych, z zastrzeżeniem, że całkowity koszt projektu zawiera podatek VAT, niezależnie od tego, czy podatek VAT stanowi wydatek kwalifikowalny w danym projekcie. </w:t>
      </w:r>
    </w:p>
    <w:p w14:paraId="30B3CB4E" w14:textId="77777777" w:rsidR="00BC1522" w:rsidRPr="00987AD1" w:rsidRDefault="00BC1522" w:rsidP="00DA0234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Czyli, w ujęciu finansowym są to koszty brutto (koszt brutto = koszty netto + podatek VAT). </w:t>
      </w:r>
    </w:p>
    <w:p w14:paraId="7C8B3C95" w14:textId="77777777" w:rsidR="00BC1522" w:rsidRPr="00987AD1" w:rsidRDefault="00BC1522" w:rsidP="00DA0234">
      <w:p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Wykaz uproszczeń:</w:t>
      </w:r>
    </w:p>
    <w:p w14:paraId="04A02AC0" w14:textId="77777777" w:rsidR="00BC1522" w:rsidRPr="00987AD1" w:rsidRDefault="00BC1522" w:rsidP="00DA0234">
      <w:pPr>
        <w:numPr>
          <w:ilvl w:val="0"/>
          <w:numId w:val="69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brak obowiązku przeprowadzenia pełnej analizy CBA, z zastrzeżeniem, że należy sporządzić analizę CBA w uproszczonej, opisowej formie, </w:t>
      </w:r>
    </w:p>
    <w:p w14:paraId="0F94BCBA" w14:textId="77777777" w:rsidR="00BC1522" w:rsidRPr="00987AD1" w:rsidRDefault="00BC1522" w:rsidP="00DA0234">
      <w:pPr>
        <w:numPr>
          <w:ilvl w:val="0"/>
          <w:numId w:val="69"/>
        </w:numPr>
        <w:spacing w:after="0" w:line="276" w:lineRule="auto"/>
        <w:contextualSpacing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brak obowiązku obliczania wskaźników FNPV/K, FRR/K.</w:t>
      </w:r>
    </w:p>
    <w:p w14:paraId="77FE7AAE" w14:textId="4815FE5C" w:rsidR="00A06325" w:rsidRPr="00BC1522" w:rsidRDefault="00B30463" w:rsidP="00DA0234">
      <w:pPr>
        <w:pStyle w:val="Akapitzlist"/>
        <w:numPr>
          <w:ilvl w:val="0"/>
          <w:numId w:val="70"/>
        </w:numPr>
        <w:spacing w:before="240" w:after="0" w:line="276" w:lineRule="auto"/>
        <w:ind w:left="426" w:hanging="426"/>
        <w:rPr>
          <w:rStyle w:val="font-weight-bold"/>
          <w:rFonts w:ascii="Open Sans Light" w:hAnsi="Open Sans Light" w:cs="Open Sans Light"/>
          <w:b/>
          <w:bCs/>
          <w:sz w:val="24"/>
          <w:szCs w:val="24"/>
        </w:rPr>
      </w:pPr>
      <w:r w:rsidRPr="00BC1522">
        <w:rPr>
          <w:rStyle w:val="font-weight-bold"/>
          <w:rFonts w:ascii="Open Sans Light" w:hAnsi="Open Sans Light" w:cs="Open Sans Light"/>
          <w:b/>
          <w:bCs/>
          <w:sz w:val="24"/>
          <w:szCs w:val="24"/>
        </w:rPr>
        <w:lastRenderedPageBreak/>
        <w:t>Zalecenia ogólne</w:t>
      </w:r>
    </w:p>
    <w:p w14:paraId="1A511CA2" w14:textId="6B3E0166" w:rsidR="00B30463" w:rsidRPr="007E1F1C" w:rsidRDefault="00B30463" w:rsidP="00DA0234">
      <w:pPr>
        <w:pStyle w:val="Akapitzlist"/>
        <w:numPr>
          <w:ilvl w:val="0"/>
          <w:numId w:val="63"/>
        </w:numPr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Metoda analizy finansowej. </w:t>
      </w:r>
    </w:p>
    <w:p w14:paraId="6F63306C" w14:textId="5C5D94A9" w:rsidR="00B30463" w:rsidRPr="007E1F1C" w:rsidRDefault="00B30463" w:rsidP="00DA0234">
      <w:pPr>
        <w:spacing w:after="0" w:line="276" w:lineRule="auto"/>
        <w:ind w:left="709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Zgodnie z zapisami zawartymi w dokumencie „Wytyczne dotyczące zagadnień związanych z przygotowaniem projektów inwestycyjnych, w tym hybrydowych na lata 2021-2027” (dalej „Wytyczne”), Wnioskodawca powinien wybrać jedną z dwóch metod analizy finansowej (analiza standardowa lub złożona) i w modelu finansowym przedstawić odpowiednie wyliczenia, prezentujące (w dużym uproszczeniu) strumień przepływów pieniężnych dla:</w:t>
      </w:r>
    </w:p>
    <w:p w14:paraId="4B45A1FC" w14:textId="2E674E0B" w:rsidR="00B30463" w:rsidRPr="007E1F1C" w:rsidRDefault="00B30463" w:rsidP="00DA0234">
      <w:pPr>
        <w:pStyle w:val="Akapitzlist"/>
        <w:numPr>
          <w:ilvl w:val="0"/>
          <w:numId w:val="65"/>
        </w:numPr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Wnioskodawcy bez Projektu (tzw. Wariant W-0),</w:t>
      </w:r>
    </w:p>
    <w:p w14:paraId="49641909" w14:textId="78AD4A90" w:rsidR="00B30463" w:rsidRPr="007E1F1C" w:rsidRDefault="00B30463" w:rsidP="00DA0234">
      <w:pPr>
        <w:pStyle w:val="Akapitzlist"/>
        <w:numPr>
          <w:ilvl w:val="0"/>
          <w:numId w:val="65"/>
        </w:numPr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Wnioskodawcy z Projektem (tzw. Wariant W-1), </w:t>
      </w:r>
    </w:p>
    <w:p w14:paraId="20215BF8" w14:textId="7C7F2D1C" w:rsidR="00B30463" w:rsidRPr="007E1F1C" w:rsidRDefault="00B30463" w:rsidP="00DA0234">
      <w:pPr>
        <w:pStyle w:val="Akapitzlist"/>
        <w:numPr>
          <w:ilvl w:val="0"/>
          <w:numId w:val="65"/>
        </w:numPr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Projektu. </w:t>
      </w:r>
    </w:p>
    <w:p w14:paraId="3AD1E993" w14:textId="3549CEA7" w:rsidR="00B30463" w:rsidRPr="007E1F1C" w:rsidRDefault="00B30463" w:rsidP="00DA0234">
      <w:pPr>
        <w:spacing w:after="0" w:line="276" w:lineRule="auto"/>
        <w:ind w:left="709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Bez względu na wybór metody analiz finansowych, w modelu finansowym powinny zostać przedstawione wyniki finansowe Wnioskodawcy za okres 3 lat wstecz oraz na okres prognoz finansowych (okres odniesienia). </w:t>
      </w:r>
    </w:p>
    <w:p w14:paraId="21FA73E3" w14:textId="668527F1" w:rsidR="00B30463" w:rsidRPr="007E1F1C" w:rsidRDefault="00B30463" w:rsidP="00DA0234">
      <w:pPr>
        <w:spacing w:before="240" w:after="0" w:line="276" w:lineRule="auto"/>
        <w:ind w:left="709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 przypadku, gdy Wnioskodawcą jest JST, wyniki i prognozy finansowe mogą zostać zaprezentowana w układzie rachunkowym (rachunek zysków i strat i bilans) lub w układzie budżetowym (dochody/wydatki, przychody/rozchody, wynik budżetu), z zastrzeżeniem, że w układzie rachunkowym konieczne jest sporządzenie dodatkowo rachunku przepływów pieniężnych, który jest rachunkiem wynikowym w stosunku do rachunku zysków i strat oraz bilansu. </w:t>
      </w:r>
    </w:p>
    <w:p w14:paraId="4D826257" w14:textId="5B8959FE" w:rsidR="00B30463" w:rsidRPr="007E1F1C" w:rsidRDefault="00B30463" w:rsidP="00DA0234">
      <w:pPr>
        <w:spacing w:before="240" w:after="0" w:line="276" w:lineRule="auto"/>
        <w:ind w:left="709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 przypadku projektów realizowanych w ramach: </w:t>
      </w:r>
      <w:r w:rsidR="007B742C" w:rsidRPr="007B742C">
        <w:rPr>
          <w:rStyle w:val="font-weight-bold"/>
          <w:rFonts w:ascii="Open Sans Light" w:hAnsi="Open Sans Light" w:cs="Open Sans Light"/>
          <w:sz w:val="24"/>
          <w:szCs w:val="24"/>
        </w:rPr>
        <w:t>Działanie FENX.01.04. Gospodarka odpadami oraz gospodarka o obiegu zamkniętym</w:t>
      </w:r>
      <w:r w:rsidR="007B742C">
        <w:rPr>
          <w:rStyle w:val="font-weight-bold"/>
          <w:rFonts w:ascii="Open Sans Light" w:hAnsi="Open Sans Light" w:cs="Open Sans Light"/>
          <w:sz w:val="24"/>
          <w:szCs w:val="24"/>
        </w:rPr>
        <w:t>,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 Typ projektu:</w:t>
      </w:r>
      <w:r w:rsidR="007B742C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7B742C" w:rsidRPr="007B742C">
        <w:rPr>
          <w:rStyle w:val="font-weight-bold"/>
          <w:rFonts w:ascii="Open Sans Light" w:hAnsi="Open Sans Light" w:cs="Open Sans Light"/>
          <w:sz w:val="24"/>
          <w:szCs w:val="24"/>
        </w:rPr>
        <w:t xml:space="preserve">Instalacje do przetwarzania odpadów komunalnych zgodnie z hierarchią sposobów postępowania z odpadami 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rekomendowane jest stosowanie metody standardowej i prezentacja struktura przychodowo-kosztowej</w:t>
      </w:r>
      <w:r w:rsidR="007B742C">
        <w:rPr>
          <w:rStyle w:val="font-weight-bold"/>
          <w:rFonts w:ascii="Open Sans Light" w:hAnsi="Open Sans Light" w:cs="Open Sans Light"/>
          <w:sz w:val="24"/>
          <w:szCs w:val="24"/>
        </w:rPr>
        <w:br/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i kapitałowo-majątkowej w formie rachunku zysków i strat oraz bilansu, zgodnie z zasadami Ustawy o rachunkowości.</w:t>
      </w:r>
    </w:p>
    <w:p w14:paraId="093729D9" w14:textId="5D099798" w:rsidR="00B30463" w:rsidRPr="007E1F1C" w:rsidRDefault="00B30463" w:rsidP="00DA0234">
      <w:pPr>
        <w:spacing w:after="0" w:line="276" w:lineRule="auto"/>
        <w:ind w:left="709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Wobec powyższego, oczekuje się, że poprawnie sporządzona analiza finansowa, w Wariancie W-1, będzie prezentować wyniki finansowe Wnioskodawcy (układ rachunkowy lub budżetowy) z uwzględnieniem wnioskowanego Projektu.</w:t>
      </w:r>
    </w:p>
    <w:p w14:paraId="0C7DB794" w14:textId="0B229A8A" w:rsidR="00B30463" w:rsidRPr="007E1F1C" w:rsidRDefault="007E1F1C" w:rsidP="00DA0234">
      <w:pPr>
        <w:pStyle w:val="Akapitzlist"/>
        <w:numPr>
          <w:ilvl w:val="0"/>
          <w:numId w:val="63"/>
        </w:numPr>
        <w:spacing w:before="240" w:after="0" w:line="276" w:lineRule="auto"/>
        <w:ind w:left="714" w:hanging="357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Model finansowy</w:t>
      </w:r>
    </w:p>
    <w:p w14:paraId="46DC6060" w14:textId="3C5019BC" w:rsidR="007E1F1C" w:rsidRPr="007E1F1C" w:rsidRDefault="007E1F1C" w:rsidP="00DA0234">
      <w:pPr>
        <w:pStyle w:val="Akapitzlist"/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Model finansowy powinien zostać </w:t>
      </w:r>
      <w:r w:rsidR="009130C2" w:rsidRPr="007E1F1C">
        <w:rPr>
          <w:rStyle w:val="font-weight-bold"/>
          <w:rFonts w:ascii="Open Sans Light" w:hAnsi="Open Sans Light" w:cs="Open Sans Light"/>
          <w:sz w:val="24"/>
          <w:szCs w:val="24"/>
        </w:rPr>
        <w:t>sporządzan</w:t>
      </w:r>
      <w:r w:rsidR="009130C2">
        <w:rPr>
          <w:rStyle w:val="font-weight-bold"/>
          <w:rFonts w:ascii="Open Sans Light" w:hAnsi="Open Sans Light" w:cs="Open Sans Light"/>
          <w:sz w:val="24"/>
          <w:szCs w:val="24"/>
        </w:rPr>
        <w:t>y</w:t>
      </w:r>
      <w:r w:rsidR="009130C2"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 formie aktywnego </w:t>
      </w:r>
      <w:r w:rsidR="007B742C">
        <w:rPr>
          <w:rStyle w:val="font-weight-bold"/>
          <w:rFonts w:ascii="Open Sans Light" w:hAnsi="Open Sans Light" w:cs="Open Sans Light"/>
          <w:sz w:val="24"/>
          <w:szCs w:val="24"/>
        </w:rPr>
        <w:t>arkusza kalkulacyjnego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 (przykładowe formaty: xls, xlsx, itp.), posiadającym odrębnie ujęte założenia, obliczenia i wyniki. Poszczególne skoroszyty (zakładki) arkusza 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lastRenderedPageBreak/>
        <w:t xml:space="preserve">kalkulacyjnego powinny być powiązane ze sobą aktywnymi formułami, tak aby można było prześledzić poprawność przeprowadzonych obliczeń. Budowa i funkcjonalność modelu finansowego powinna zapewnić spójność i ciągłość prognoz finansowych. Arkusz kalkulacyjny nie powinien być chroniony i nie powinien posiadać ukrytych skoroszytów. </w:t>
      </w:r>
    </w:p>
    <w:p w14:paraId="7CA17AF0" w14:textId="67F82420" w:rsidR="007E1F1C" w:rsidRPr="007E1F1C" w:rsidRDefault="007E1F1C" w:rsidP="00DA0234">
      <w:pPr>
        <w:pStyle w:val="Akapitzlist"/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Ważne jest, aby zachować ciągłość i spójność obliczeń pomiędzy osiągniętymi wynikami finansowymi a prognozowanymi wartościami. W przypadku znaczących zmian prognozowanych wartości poszczególnych pozycji rachunkow</w:t>
      </w:r>
      <w:r w:rsidR="007B742C">
        <w:rPr>
          <w:rStyle w:val="font-weight-bold"/>
          <w:rFonts w:ascii="Open Sans Light" w:hAnsi="Open Sans Light" w:cs="Open Sans Light"/>
          <w:sz w:val="24"/>
          <w:szCs w:val="24"/>
        </w:rPr>
        <w:t>o-bilansowych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 należy przedstawić dodatkowy komentarz, potwierdzający zasadność i poprawność prognozowanych wartości. </w:t>
      </w:r>
    </w:p>
    <w:p w14:paraId="7C2199F3" w14:textId="77777777" w:rsidR="007E1F1C" w:rsidRPr="007E1F1C" w:rsidRDefault="007E1F1C" w:rsidP="00DA0234">
      <w:pPr>
        <w:pStyle w:val="Akapitzlist"/>
        <w:spacing w:after="0" w:line="276" w:lineRule="auto"/>
        <w:rPr>
          <w:rStyle w:val="font-weight-bold"/>
          <w:rFonts w:ascii="Open Sans Light" w:hAnsi="Open Sans Light" w:cs="Open Sans Light"/>
          <w:sz w:val="24"/>
          <w:szCs w:val="24"/>
        </w:rPr>
      </w:pPr>
    </w:p>
    <w:p w14:paraId="7FB17748" w14:textId="77777777" w:rsidR="007E1F1C" w:rsidRPr="007E1F1C" w:rsidRDefault="007E1F1C" w:rsidP="007E1F1C">
      <w:pPr>
        <w:pStyle w:val="Akapitzlist"/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</w:p>
    <w:sectPr w:rsidR="007E1F1C" w:rsidRPr="007E1F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BD82E" w14:textId="77777777" w:rsidR="00C20193" w:rsidRDefault="00C20193" w:rsidP="00F17459">
      <w:pPr>
        <w:spacing w:after="0" w:line="240" w:lineRule="auto"/>
      </w:pPr>
      <w:r>
        <w:separator/>
      </w:r>
    </w:p>
  </w:endnote>
  <w:endnote w:type="continuationSeparator" w:id="0">
    <w:p w14:paraId="6EB87E28" w14:textId="77777777" w:rsidR="00C20193" w:rsidRDefault="00C20193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6690969"/>
      <w:docPartObj>
        <w:docPartGallery w:val="Page Numbers (Bottom of Page)"/>
        <w:docPartUnique/>
      </w:docPartObj>
    </w:sdtPr>
    <w:sdtEndPr/>
    <w:sdtContent>
      <w:p w14:paraId="391FFA9D" w14:textId="1DF28B45" w:rsidR="00A62403" w:rsidRDefault="00A624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632">
          <w:rPr>
            <w:noProof/>
          </w:rPr>
          <w:t>11</w:t>
        </w:r>
        <w:r>
          <w:fldChar w:fldCharType="end"/>
        </w:r>
      </w:p>
    </w:sdtContent>
  </w:sdt>
  <w:p w14:paraId="067A18C9" w14:textId="77777777" w:rsidR="00A62403" w:rsidRDefault="00A624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1A225" w14:textId="77777777" w:rsidR="00C20193" w:rsidRDefault="00C20193" w:rsidP="00F17459">
      <w:pPr>
        <w:spacing w:after="0" w:line="240" w:lineRule="auto"/>
      </w:pPr>
      <w:r>
        <w:separator/>
      </w:r>
    </w:p>
  </w:footnote>
  <w:footnote w:type="continuationSeparator" w:id="0">
    <w:p w14:paraId="3570C656" w14:textId="77777777" w:rsidR="00C20193" w:rsidRDefault="00C20193" w:rsidP="00F17459">
      <w:pPr>
        <w:spacing w:after="0" w:line="240" w:lineRule="auto"/>
      </w:pPr>
      <w:r>
        <w:continuationSeparator/>
      </w:r>
    </w:p>
  </w:footnote>
  <w:footnote w:id="1">
    <w:p w14:paraId="265BDB40" w14:textId="77777777" w:rsidR="00BC1522" w:rsidRDefault="00BC1522" w:rsidP="00BC1522">
      <w:pPr>
        <w:pStyle w:val="Tekstprzypisudolnego"/>
      </w:pPr>
      <w:r>
        <w:rPr>
          <w:rStyle w:val="Odwoanieprzypisudolnego"/>
        </w:rPr>
        <w:footnoteRef/>
      </w:r>
      <w:r>
        <w:t xml:space="preserve">inne podmioty to ewentualnie partnerzy oraz podmioty upoważnione, odbiorcy ostateczni i inne podmioty  </w:t>
      </w:r>
    </w:p>
    <w:p w14:paraId="2CF6FB72" w14:textId="77777777" w:rsidR="00BC1522" w:rsidRDefault="00BC1522" w:rsidP="00BC1522">
      <w:pPr>
        <w:pStyle w:val="Tekstprzypisudolnego"/>
      </w:pPr>
      <w:r>
        <w:t xml:space="preserve">  uczestniczące w fazie inwestycyjnej i operacyjnej projektu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81275"/>
    <w:multiLevelType w:val="hybridMultilevel"/>
    <w:tmpl w:val="7A241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C3CBB"/>
    <w:multiLevelType w:val="hybridMultilevel"/>
    <w:tmpl w:val="EB06D9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ED0605"/>
    <w:multiLevelType w:val="hybridMultilevel"/>
    <w:tmpl w:val="5EBEF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FD79DF"/>
    <w:multiLevelType w:val="hybridMultilevel"/>
    <w:tmpl w:val="5F06E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0870A9"/>
    <w:multiLevelType w:val="hybridMultilevel"/>
    <w:tmpl w:val="E94E16AE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55555"/>
    <w:multiLevelType w:val="hybridMultilevel"/>
    <w:tmpl w:val="0BCE23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BD40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E57C1E"/>
    <w:multiLevelType w:val="hybridMultilevel"/>
    <w:tmpl w:val="D0DAF73A"/>
    <w:lvl w:ilvl="0" w:tplc="8F96D05A">
      <w:start w:val="1"/>
      <w:numFmt w:val="bullet"/>
      <w:lvlText w:val=""/>
      <w:lvlJc w:val="left"/>
      <w:pPr>
        <w:ind w:left="778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161B32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14E43"/>
    <w:multiLevelType w:val="hybridMultilevel"/>
    <w:tmpl w:val="706A1A76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D46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FD7D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1279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CB26C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D81778"/>
    <w:multiLevelType w:val="hybridMultilevel"/>
    <w:tmpl w:val="FB6036E2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B0F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D40785"/>
    <w:multiLevelType w:val="hybridMultilevel"/>
    <w:tmpl w:val="721C19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4314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2135ECA"/>
    <w:multiLevelType w:val="hybridMultilevel"/>
    <w:tmpl w:val="AA40EDEC"/>
    <w:lvl w:ilvl="0" w:tplc="8F96D05A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529B5E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8D47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145F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2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AC16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4375CD6"/>
    <w:multiLevelType w:val="hybridMultilevel"/>
    <w:tmpl w:val="8744BB0A"/>
    <w:lvl w:ilvl="0" w:tplc="8F96D05A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8E55981"/>
    <w:multiLevelType w:val="hybridMultilevel"/>
    <w:tmpl w:val="DA023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AB443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9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3746DA3"/>
    <w:multiLevelType w:val="hybridMultilevel"/>
    <w:tmpl w:val="4AA05632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B65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ABD02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3E3CBE"/>
    <w:multiLevelType w:val="hybridMultilevel"/>
    <w:tmpl w:val="8F94C87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70812">
    <w:abstractNumId w:val="32"/>
  </w:num>
  <w:num w:numId="2" w16cid:durableId="722749583">
    <w:abstractNumId w:val="40"/>
  </w:num>
  <w:num w:numId="3" w16cid:durableId="1516189873">
    <w:abstractNumId w:val="24"/>
  </w:num>
  <w:num w:numId="4" w16cid:durableId="1582566706">
    <w:abstractNumId w:val="34"/>
  </w:num>
  <w:num w:numId="5" w16cid:durableId="922107984">
    <w:abstractNumId w:val="22"/>
  </w:num>
  <w:num w:numId="6" w16cid:durableId="1934775933">
    <w:abstractNumId w:val="29"/>
  </w:num>
  <w:num w:numId="7" w16cid:durableId="1294405489">
    <w:abstractNumId w:val="65"/>
  </w:num>
  <w:num w:numId="8" w16cid:durableId="1748764959">
    <w:abstractNumId w:val="38"/>
  </w:num>
  <w:num w:numId="9" w16cid:durableId="1871137812">
    <w:abstractNumId w:val="69"/>
  </w:num>
  <w:num w:numId="10" w16cid:durableId="536966225">
    <w:abstractNumId w:val="11"/>
  </w:num>
  <w:num w:numId="11" w16cid:durableId="2063214674">
    <w:abstractNumId w:val="17"/>
  </w:num>
  <w:num w:numId="12" w16cid:durableId="1688602862">
    <w:abstractNumId w:val="66"/>
  </w:num>
  <w:num w:numId="13" w16cid:durableId="192882473">
    <w:abstractNumId w:val="52"/>
  </w:num>
  <w:num w:numId="14" w16cid:durableId="191773185">
    <w:abstractNumId w:val="26"/>
  </w:num>
  <w:num w:numId="15" w16cid:durableId="1714187005">
    <w:abstractNumId w:val="59"/>
  </w:num>
  <w:num w:numId="16" w16cid:durableId="1665206229">
    <w:abstractNumId w:val="13"/>
  </w:num>
  <w:num w:numId="17" w16cid:durableId="592595934">
    <w:abstractNumId w:val="49"/>
  </w:num>
  <w:num w:numId="18" w16cid:durableId="991057211">
    <w:abstractNumId w:val="7"/>
  </w:num>
  <w:num w:numId="19" w16cid:durableId="169415879">
    <w:abstractNumId w:val="62"/>
  </w:num>
  <w:num w:numId="20" w16cid:durableId="1472163819">
    <w:abstractNumId w:val="5"/>
  </w:num>
  <w:num w:numId="21" w16cid:durableId="1349139800">
    <w:abstractNumId w:val="45"/>
  </w:num>
  <w:num w:numId="22" w16cid:durableId="1463110283">
    <w:abstractNumId w:val="21"/>
  </w:num>
  <w:num w:numId="23" w16cid:durableId="676350245">
    <w:abstractNumId w:val="67"/>
  </w:num>
  <w:num w:numId="24" w16cid:durableId="1351756799">
    <w:abstractNumId w:val="35"/>
  </w:num>
  <w:num w:numId="25" w16cid:durableId="683557665">
    <w:abstractNumId w:val="48"/>
  </w:num>
  <w:num w:numId="26" w16cid:durableId="2075275070">
    <w:abstractNumId w:val="36"/>
  </w:num>
  <w:num w:numId="27" w16cid:durableId="627080561">
    <w:abstractNumId w:val="6"/>
  </w:num>
  <w:num w:numId="28" w16cid:durableId="1913151940">
    <w:abstractNumId w:val="16"/>
  </w:num>
  <w:num w:numId="29" w16cid:durableId="1350637612">
    <w:abstractNumId w:val="51"/>
  </w:num>
  <w:num w:numId="30" w16cid:durableId="894465655">
    <w:abstractNumId w:val="33"/>
  </w:num>
  <w:num w:numId="31" w16cid:durableId="942421138">
    <w:abstractNumId w:val="53"/>
  </w:num>
  <w:num w:numId="32" w16cid:durableId="1564564078">
    <w:abstractNumId w:val="41"/>
  </w:num>
  <w:num w:numId="33" w16cid:durableId="108932603">
    <w:abstractNumId w:val="25"/>
  </w:num>
  <w:num w:numId="34" w16cid:durableId="454831906">
    <w:abstractNumId w:val="0"/>
  </w:num>
  <w:num w:numId="35" w16cid:durableId="782766360">
    <w:abstractNumId w:val="18"/>
  </w:num>
  <w:num w:numId="36" w16cid:durableId="1811285056">
    <w:abstractNumId w:val="4"/>
  </w:num>
  <w:num w:numId="37" w16cid:durableId="929198502">
    <w:abstractNumId w:val="37"/>
  </w:num>
  <w:num w:numId="38" w16cid:durableId="575164609">
    <w:abstractNumId w:val="47"/>
  </w:num>
  <w:num w:numId="39" w16cid:durableId="861405442">
    <w:abstractNumId w:val="60"/>
  </w:num>
  <w:num w:numId="40" w16cid:durableId="273052546">
    <w:abstractNumId w:val="58"/>
  </w:num>
  <w:num w:numId="41" w16cid:durableId="1750735931">
    <w:abstractNumId w:val="14"/>
  </w:num>
  <w:num w:numId="42" w16cid:durableId="825972174">
    <w:abstractNumId w:val="61"/>
  </w:num>
  <w:num w:numId="43" w16cid:durableId="1020469190">
    <w:abstractNumId w:val="23"/>
  </w:num>
  <w:num w:numId="44" w16cid:durableId="1918589607">
    <w:abstractNumId w:val="3"/>
  </w:num>
  <w:num w:numId="45" w16cid:durableId="148909351">
    <w:abstractNumId w:val="27"/>
  </w:num>
  <w:num w:numId="46" w16cid:durableId="2074110282">
    <w:abstractNumId w:val="57"/>
  </w:num>
  <w:num w:numId="47" w16cid:durableId="1407193109">
    <w:abstractNumId w:val="12"/>
  </w:num>
  <w:num w:numId="48" w16cid:durableId="883441798">
    <w:abstractNumId w:val="28"/>
  </w:num>
  <w:num w:numId="49" w16cid:durableId="287014149">
    <w:abstractNumId w:val="20"/>
  </w:num>
  <w:num w:numId="50" w16cid:durableId="1307273342">
    <w:abstractNumId w:val="64"/>
  </w:num>
  <w:num w:numId="51" w16cid:durableId="179660618">
    <w:abstractNumId w:val="54"/>
  </w:num>
  <w:num w:numId="52" w16cid:durableId="2071152168">
    <w:abstractNumId w:val="46"/>
  </w:num>
  <w:num w:numId="53" w16cid:durableId="1776288543">
    <w:abstractNumId w:val="15"/>
  </w:num>
  <w:num w:numId="54" w16cid:durableId="1681816842">
    <w:abstractNumId w:val="31"/>
  </w:num>
  <w:num w:numId="55" w16cid:durableId="517620548">
    <w:abstractNumId w:val="63"/>
  </w:num>
  <w:num w:numId="56" w16cid:durableId="190145742">
    <w:abstractNumId w:val="44"/>
  </w:num>
  <w:num w:numId="57" w16cid:durableId="1950116748">
    <w:abstractNumId w:val="50"/>
  </w:num>
  <w:num w:numId="58" w16cid:durableId="313027836">
    <w:abstractNumId w:val="42"/>
  </w:num>
  <w:num w:numId="59" w16cid:durableId="294920400">
    <w:abstractNumId w:val="8"/>
  </w:num>
  <w:num w:numId="60" w16cid:durableId="1457867635">
    <w:abstractNumId w:val="9"/>
  </w:num>
  <w:num w:numId="61" w16cid:durableId="366873278">
    <w:abstractNumId w:val="30"/>
  </w:num>
  <w:num w:numId="62" w16cid:durableId="125127291">
    <w:abstractNumId w:val="19"/>
  </w:num>
  <w:num w:numId="63" w16cid:durableId="1323855517">
    <w:abstractNumId w:val="10"/>
  </w:num>
  <w:num w:numId="64" w16cid:durableId="520899487">
    <w:abstractNumId w:val="56"/>
  </w:num>
  <w:num w:numId="65" w16cid:durableId="1716077942">
    <w:abstractNumId w:val="43"/>
  </w:num>
  <w:num w:numId="66" w16cid:durableId="1954441151">
    <w:abstractNumId w:val="55"/>
  </w:num>
  <w:num w:numId="67" w16cid:durableId="335116036">
    <w:abstractNumId w:val="1"/>
  </w:num>
  <w:num w:numId="68" w16cid:durableId="875192911">
    <w:abstractNumId w:val="39"/>
  </w:num>
  <w:num w:numId="69" w16cid:durableId="256182975">
    <w:abstractNumId w:val="2"/>
  </w:num>
  <w:num w:numId="70" w16cid:durableId="1442608604">
    <w:abstractNumId w:val="6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00EE"/>
    <w:rsid w:val="00022EE0"/>
    <w:rsid w:val="000278D8"/>
    <w:rsid w:val="00027D9B"/>
    <w:rsid w:val="000327C9"/>
    <w:rsid w:val="00033CD7"/>
    <w:rsid w:val="00037B76"/>
    <w:rsid w:val="00040062"/>
    <w:rsid w:val="00040B0C"/>
    <w:rsid w:val="000448AF"/>
    <w:rsid w:val="00051C99"/>
    <w:rsid w:val="0005256A"/>
    <w:rsid w:val="00057754"/>
    <w:rsid w:val="000839FF"/>
    <w:rsid w:val="00083AEF"/>
    <w:rsid w:val="00083D38"/>
    <w:rsid w:val="000932EA"/>
    <w:rsid w:val="00094932"/>
    <w:rsid w:val="0009662E"/>
    <w:rsid w:val="000A1864"/>
    <w:rsid w:val="000B3FDF"/>
    <w:rsid w:val="000B6BAF"/>
    <w:rsid w:val="000D0B4F"/>
    <w:rsid w:val="000F33EF"/>
    <w:rsid w:val="000F5C0E"/>
    <w:rsid w:val="000F7EC3"/>
    <w:rsid w:val="001021FF"/>
    <w:rsid w:val="0010398F"/>
    <w:rsid w:val="0010766B"/>
    <w:rsid w:val="00140CFA"/>
    <w:rsid w:val="00160487"/>
    <w:rsid w:val="00166632"/>
    <w:rsid w:val="00167721"/>
    <w:rsid w:val="00173E19"/>
    <w:rsid w:val="00183A7B"/>
    <w:rsid w:val="00183B69"/>
    <w:rsid w:val="001935C4"/>
    <w:rsid w:val="001B6C66"/>
    <w:rsid w:val="001D74F3"/>
    <w:rsid w:val="001E12A1"/>
    <w:rsid w:val="001E487C"/>
    <w:rsid w:val="001E79C8"/>
    <w:rsid w:val="001E7B4B"/>
    <w:rsid w:val="001F4BAF"/>
    <w:rsid w:val="001F4C21"/>
    <w:rsid w:val="001F7F52"/>
    <w:rsid w:val="00201477"/>
    <w:rsid w:val="002021CD"/>
    <w:rsid w:val="0020269A"/>
    <w:rsid w:val="002062C8"/>
    <w:rsid w:val="002177F0"/>
    <w:rsid w:val="00217970"/>
    <w:rsid w:val="00221569"/>
    <w:rsid w:val="0022206C"/>
    <w:rsid w:val="002254A8"/>
    <w:rsid w:val="0023048D"/>
    <w:rsid w:val="0023315A"/>
    <w:rsid w:val="00235C2A"/>
    <w:rsid w:val="002440A0"/>
    <w:rsid w:val="00255AE2"/>
    <w:rsid w:val="0026264E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C4FA4"/>
    <w:rsid w:val="002D55F9"/>
    <w:rsid w:val="002E0923"/>
    <w:rsid w:val="002E453D"/>
    <w:rsid w:val="002F5209"/>
    <w:rsid w:val="003010CE"/>
    <w:rsid w:val="0030766F"/>
    <w:rsid w:val="00321CB4"/>
    <w:rsid w:val="003262E3"/>
    <w:rsid w:val="00327C1F"/>
    <w:rsid w:val="0035339B"/>
    <w:rsid w:val="00354BE3"/>
    <w:rsid w:val="003554F5"/>
    <w:rsid w:val="003570B6"/>
    <w:rsid w:val="00357143"/>
    <w:rsid w:val="003660B0"/>
    <w:rsid w:val="00367E2A"/>
    <w:rsid w:val="00384E2D"/>
    <w:rsid w:val="003911AE"/>
    <w:rsid w:val="00391EB7"/>
    <w:rsid w:val="003920A7"/>
    <w:rsid w:val="00394E1F"/>
    <w:rsid w:val="003A3FFD"/>
    <w:rsid w:val="003B10F2"/>
    <w:rsid w:val="003B7AD6"/>
    <w:rsid w:val="003C3723"/>
    <w:rsid w:val="003D31AD"/>
    <w:rsid w:val="003D4C06"/>
    <w:rsid w:val="003D4D63"/>
    <w:rsid w:val="003D500C"/>
    <w:rsid w:val="003F03A3"/>
    <w:rsid w:val="003F07D5"/>
    <w:rsid w:val="00401922"/>
    <w:rsid w:val="004171C7"/>
    <w:rsid w:val="00430392"/>
    <w:rsid w:val="00431305"/>
    <w:rsid w:val="00450EB7"/>
    <w:rsid w:val="00452E17"/>
    <w:rsid w:val="004561DF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1BF6"/>
    <w:rsid w:val="004D7AB1"/>
    <w:rsid w:val="004F0E3F"/>
    <w:rsid w:val="00513593"/>
    <w:rsid w:val="00516ED5"/>
    <w:rsid w:val="00521AD9"/>
    <w:rsid w:val="005231BD"/>
    <w:rsid w:val="0052395B"/>
    <w:rsid w:val="005302AE"/>
    <w:rsid w:val="0053391A"/>
    <w:rsid w:val="00533E9A"/>
    <w:rsid w:val="005347A9"/>
    <w:rsid w:val="0053715A"/>
    <w:rsid w:val="00546341"/>
    <w:rsid w:val="00546587"/>
    <w:rsid w:val="00551972"/>
    <w:rsid w:val="00551D39"/>
    <w:rsid w:val="00551FDD"/>
    <w:rsid w:val="00565A5F"/>
    <w:rsid w:val="00577696"/>
    <w:rsid w:val="00577A48"/>
    <w:rsid w:val="00582D43"/>
    <w:rsid w:val="0058673E"/>
    <w:rsid w:val="00586813"/>
    <w:rsid w:val="005954D7"/>
    <w:rsid w:val="005A46D2"/>
    <w:rsid w:val="005A60A2"/>
    <w:rsid w:val="005A67A4"/>
    <w:rsid w:val="005C0B35"/>
    <w:rsid w:val="005D2533"/>
    <w:rsid w:val="005E536F"/>
    <w:rsid w:val="005E61B1"/>
    <w:rsid w:val="005E7410"/>
    <w:rsid w:val="005F6B45"/>
    <w:rsid w:val="00623C04"/>
    <w:rsid w:val="0063002C"/>
    <w:rsid w:val="0063621E"/>
    <w:rsid w:val="00661D46"/>
    <w:rsid w:val="00662976"/>
    <w:rsid w:val="00676D33"/>
    <w:rsid w:val="006918FB"/>
    <w:rsid w:val="00692711"/>
    <w:rsid w:val="006A1888"/>
    <w:rsid w:val="006C43AB"/>
    <w:rsid w:val="006C6EF7"/>
    <w:rsid w:val="006D315B"/>
    <w:rsid w:val="006D4544"/>
    <w:rsid w:val="006D6808"/>
    <w:rsid w:val="006E08F8"/>
    <w:rsid w:val="006E6D06"/>
    <w:rsid w:val="006F6E4B"/>
    <w:rsid w:val="0070019F"/>
    <w:rsid w:val="00700A1F"/>
    <w:rsid w:val="00732AE7"/>
    <w:rsid w:val="00744DB3"/>
    <w:rsid w:val="00756C62"/>
    <w:rsid w:val="00756EB3"/>
    <w:rsid w:val="00762CEB"/>
    <w:rsid w:val="00762E7E"/>
    <w:rsid w:val="00764726"/>
    <w:rsid w:val="00770C90"/>
    <w:rsid w:val="00783B0B"/>
    <w:rsid w:val="007862C6"/>
    <w:rsid w:val="00796B8A"/>
    <w:rsid w:val="00797EC4"/>
    <w:rsid w:val="007A0820"/>
    <w:rsid w:val="007A4D50"/>
    <w:rsid w:val="007B1448"/>
    <w:rsid w:val="007B4B6D"/>
    <w:rsid w:val="007B742C"/>
    <w:rsid w:val="007C20D7"/>
    <w:rsid w:val="007C3B3C"/>
    <w:rsid w:val="007C5039"/>
    <w:rsid w:val="007D0EF5"/>
    <w:rsid w:val="007D2632"/>
    <w:rsid w:val="007E0C97"/>
    <w:rsid w:val="007E1F1C"/>
    <w:rsid w:val="007F1C36"/>
    <w:rsid w:val="008021B6"/>
    <w:rsid w:val="00827945"/>
    <w:rsid w:val="0083249D"/>
    <w:rsid w:val="0085004A"/>
    <w:rsid w:val="00852512"/>
    <w:rsid w:val="00860B92"/>
    <w:rsid w:val="008664C9"/>
    <w:rsid w:val="00867A73"/>
    <w:rsid w:val="008748CB"/>
    <w:rsid w:val="008B38EC"/>
    <w:rsid w:val="008B4593"/>
    <w:rsid w:val="008B6501"/>
    <w:rsid w:val="008C06A8"/>
    <w:rsid w:val="008D156F"/>
    <w:rsid w:val="008D4F99"/>
    <w:rsid w:val="008E0B90"/>
    <w:rsid w:val="008F0FA9"/>
    <w:rsid w:val="008F4F66"/>
    <w:rsid w:val="008F7874"/>
    <w:rsid w:val="00902307"/>
    <w:rsid w:val="00907932"/>
    <w:rsid w:val="00907F35"/>
    <w:rsid w:val="009130C2"/>
    <w:rsid w:val="009243F9"/>
    <w:rsid w:val="00933AA9"/>
    <w:rsid w:val="00934785"/>
    <w:rsid w:val="009354D9"/>
    <w:rsid w:val="00943AB8"/>
    <w:rsid w:val="00955508"/>
    <w:rsid w:val="00960AB3"/>
    <w:rsid w:val="00970632"/>
    <w:rsid w:val="00970BED"/>
    <w:rsid w:val="009750D4"/>
    <w:rsid w:val="0098635D"/>
    <w:rsid w:val="00987AD1"/>
    <w:rsid w:val="00994CF3"/>
    <w:rsid w:val="009A1C35"/>
    <w:rsid w:val="009B3A20"/>
    <w:rsid w:val="009C270A"/>
    <w:rsid w:val="009C42B8"/>
    <w:rsid w:val="009D06D4"/>
    <w:rsid w:val="009D2A8B"/>
    <w:rsid w:val="009D78B9"/>
    <w:rsid w:val="009E2CB0"/>
    <w:rsid w:val="009E51E1"/>
    <w:rsid w:val="009E6CDC"/>
    <w:rsid w:val="009F03DF"/>
    <w:rsid w:val="009F1028"/>
    <w:rsid w:val="009F29BF"/>
    <w:rsid w:val="009F3FB0"/>
    <w:rsid w:val="009F6BB8"/>
    <w:rsid w:val="00A009DE"/>
    <w:rsid w:val="00A02BAA"/>
    <w:rsid w:val="00A03393"/>
    <w:rsid w:val="00A061AB"/>
    <w:rsid w:val="00A06325"/>
    <w:rsid w:val="00A214A9"/>
    <w:rsid w:val="00A229F1"/>
    <w:rsid w:val="00A31A0E"/>
    <w:rsid w:val="00A33395"/>
    <w:rsid w:val="00A41E27"/>
    <w:rsid w:val="00A427FD"/>
    <w:rsid w:val="00A4318A"/>
    <w:rsid w:val="00A45D4A"/>
    <w:rsid w:val="00A62403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95274"/>
    <w:rsid w:val="00AA14D8"/>
    <w:rsid w:val="00AA191B"/>
    <w:rsid w:val="00AA3E6F"/>
    <w:rsid w:val="00AB5E44"/>
    <w:rsid w:val="00AB7F2A"/>
    <w:rsid w:val="00AD47EC"/>
    <w:rsid w:val="00AD650D"/>
    <w:rsid w:val="00AE07E3"/>
    <w:rsid w:val="00AE09F9"/>
    <w:rsid w:val="00AE1AF1"/>
    <w:rsid w:val="00AE4233"/>
    <w:rsid w:val="00AE756D"/>
    <w:rsid w:val="00AF6091"/>
    <w:rsid w:val="00B0327A"/>
    <w:rsid w:val="00B15B66"/>
    <w:rsid w:val="00B20067"/>
    <w:rsid w:val="00B219AF"/>
    <w:rsid w:val="00B21FC6"/>
    <w:rsid w:val="00B30463"/>
    <w:rsid w:val="00B36745"/>
    <w:rsid w:val="00B3742E"/>
    <w:rsid w:val="00B37BDB"/>
    <w:rsid w:val="00B42F45"/>
    <w:rsid w:val="00B4579F"/>
    <w:rsid w:val="00B50E16"/>
    <w:rsid w:val="00B513A7"/>
    <w:rsid w:val="00B52514"/>
    <w:rsid w:val="00B55DAC"/>
    <w:rsid w:val="00B5756C"/>
    <w:rsid w:val="00B60BD7"/>
    <w:rsid w:val="00B60D34"/>
    <w:rsid w:val="00B9754D"/>
    <w:rsid w:val="00BA3AA4"/>
    <w:rsid w:val="00BB3AA4"/>
    <w:rsid w:val="00BB6C72"/>
    <w:rsid w:val="00BB6FF0"/>
    <w:rsid w:val="00BB7FB5"/>
    <w:rsid w:val="00BC1522"/>
    <w:rsid w:val="00BD23E1"/>
    <w:rsid w:val="00BD4093"/>
    <w:rsid w:val="00BF453F"/>
    <w:rsid w:val="00BF4CC6"/>
    <w:rsid w:val="00BF4E0C"/>
    <w:rsid w:val="00BF5941"/>
    <w:rsid w:val="00BF67A6"/>
    <w:rsid w:val="00C029E8"/>
    <w:rsid w:val="00C13BFC"/>
    <w:rsid w:val="00C20193"/>
    <w:rsid w:val="00C26242"/>
    <w:rsid w:val="00C31CE1"/>
    <w:rsid w:val="00C52A4A"/>
    <w:rsid w:val="00C61AD4"/>
    <w:rsid w:val="00C7781C"/>
    <w:rsid w:val="00C91D1E"/>
    <w:rsid w:val="00CA1112"/>
    <w:rsid w:val="00CA4DAE"/>
    <w:rsid w:val="00CB4807"/>
    <w:rsid w:val="00CC577C"/>
    <w:rsid w:val="00CC7344"/>
    <w:rsid w:val="00CD4028"/>
    <w:rsid w:val="00CE1940"/>
    <w:rsid w:val="00CE4F87"/>
    <w:rsid w:val="00CF08C8"/>
    <w:rsid w:val="00CF08E1"/>
    <w:rsid w:val="00D26F8F"/>
    <w:rsid w:val="00D32E98"/>
    <w:rsid w:val="00D348FB"/>
    <w:rsid w:val="00D3765C"/>
    <w:rsid w:val="00D40CFE"/>
    <w:rsid w:val="00D56F4E"/>
    <w:rsid w:val="00D60023"/>
    <w:rsid w:val="00D63689"/>
    <w:rsid w:val="00D641DC"/>
    <w:rsid w:val="00D735F8"/>
    <w:rsid w:val="00D76255"/>
    <w:rsid w:val="00D800FE"/>
    <w:rsid w:val="00D828B4"/>
    <w:rsid w:val="00D8592C"/>
    <w:rsid w:val="00DA0234"/>
    <w:rsid w:val="00DA0D37"/>
    <w:rsid w:val="00DA4F41"/>
    <w:rsid w:val="00DB2820"/>
    <w:rsid w:val="00DC3FD9"/>
    <w:rsid w:val="00DC4BDF"/>
    <w:rsid w:val="00DC52E5"/>
    <w:rsid w:val="00DC545D"/>
    <w:rsid w:val="00DD09B8"/>
    <w:rsid w:val="00DD34E4"/>
    <w:rsid w:val="00DD628D"/>
    <w:rsid w:val="00DD697A"/>
    <w:rsid w:val="00DD6AB1"/>
    <w:rsid w:val="00DE2DD6"/>
    <w:rsid w:val="00DE4FD1"/>
    <w:rsid w:val="00DF359B"/>
    <w:rsid w:val="00E01835"/>
    <w:rsid w:val="00E062CF"/>
    <w:rsid w:val="00E12060"/>
    <w:rsid w:val="00E13EB2"/>
    <w:rsid w:val="00E2417C"/>
    <w:rsid w:val="00E24F7A"/>
    <w:rsid w:val="00E3676A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83303"/>
    <w:rsid w:val="00E912E2"/>
    <w:rsid w:val="00EA524E"/>
    <w:rsid w:val="00EA6EF9"/>
    <w:rsid w:val="00EA71EE"/>
    <w:rsid w:val="00EB12F2"/>
    <w:rsid w:val="00EB1729"/>
    <w:rsid w:val="00EC1FA4"/>
    <w:rsid w:val="00EC4E27"/>
    <w:rsid w:val="00ED28F1"/>
    <w:rsid w:val="00EF0839"/>
    <w:rsid w:val="00EF4285"/>
    <w:rsid w:val="00EF66DE"/>
    <w:rsid w:val="00EF7CD9"/>
    <w:rsid w:val="00F03820"/>
    <w:rsid w:val="00F111F7"/>
    <w:rsid w:val="00F17459"/>
    <w:rsid w:val="00F24936"/>
    <w:rsid w:val="00F47ADD"/>
    <w:rsid w:val="00F607ED"/>
    <w:rsid w:val="00F62213"/>
    <w:rsid w:val="00F70078"/>
    <w:rsid w:val="00F70669"/>
    <w:rsid w:val="00F8413D"/>
    <w:rsid w:val="00F9078E"/>
    <w:rsid w:val="00F90899"/>
    <w:rsid w:val="00F90DE5"/>
    <w:rsid w:val="00F916D0"/>
    <w:rsid w:val="00F9533D"/>
    <w:rsid w:val="00FB2E71"/>
    <w:rsid w:val="00FB6ECC"/>
    <w:rsid w:val="00FB7009"/>
    <w:rsid w:val="00FC056A"/>
    <w:rsid w:val="00FD214A"/>
    <w:rsid w:val="00FD49EA"/>
    <w:rsid w:val="00FD5CBA"/>
    <w:rsid w:val="00FD6187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40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51C99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BD409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9589/Metodyka-zastosowania-kryterium-dostepnosci-cenowej-w-projektach-inwestycyjnych-z-dofinansowaniem-UE-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41CA-E0CD-4093-9501-1F0A414F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3880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27111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Miłoszewski Konrad</cp:lastModifiedBy>
  <cp:revision>8</cp:revision>
  <dcterms:created xsi:type="dcterms:W3CDTF">2025-10-08T07:18:00Z</dcterms:created>
  <dcterms:modified xsi:type="dcterms:W3CDTF">2025-11-24T14:00:00Z</dcterms:modified>
</cp:coreProperties>
</file>